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2C" w:rsidRDefault="00821D2C" w:rsidP="001E400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NimbusSanL-Bold" w:hAnsi="NimbusSanL-Bold" w:cs="NimbusSanL-Bold"/>
          <w:b/>
          <w:bCs/>
          <w:color w:val="000000"/>
          <w:sz w:val="17"/>
          <w:szCs w:val="17"/>
        </w:rPr>
      </w:pPr>
      <w:r>
        <w:rPr>
          <w:rFonts w:ascii="NimbusSanL-Bold" w:hAnsi="NimbusSanL-Bold" w:cs="NimbusSanL-Bold"/>
          <w:b/>
          <w:bCs/>
          <w:color w:val="000000"/>
          <w:sz w:val="17"/>
          <w:szCs w:val="17"/>
        </w:rPr>
        <w:t>Board of Directors</w:t>
      </w:r>
    </w:p>
    <w:p w:rsidR="00821D2C" w:rsidRDefault="00821D2C" w:rsidP="001E4005">
      <w:pPr>
        <w:autoSpaceDE w:val="0"/>
        <w:autoSpaceDN w:val="0"/>
        <w:adjustRightInd w:val="0"/>
        <w:spacing w:after="0" w:line="240" w:lineRule="auto"/>
        <w:ind w:left="720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>Stephanie Stibal, Chair</w:t>
      </w:r>
    </w:p>
    <w:p w:rsidR="00821D2C" w:rsidRDefault="00821D2C" w:rsidP="001E400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>Tommy Van Lith, Vice Chair</w:t>
      </w:r>
    </w:p>
    <w:p w:rsidR="00821D2C" w:rsidRDefault="00821D2C" w:rsidP="001E400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>Amanda Viebrock, Member</w:t>
      </w:r>
    </w:p>
    <w:p w:rsidR="00821D2C" w:rsidRDefault="00821D2C" w:rsidP="001E400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>Zach Gormley, Member</w:t>
      </w:r>
    </w:p>
    <w:p w:rsidR="00821D2C" w:rsidRDefault="00821D2C" w:rsidP="001E400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>Martin Wachtel, Member</w:t>
      </w:r>
    </w:p>
    <w:p w:rsidR="00821D2C" w:rsidRDefault="00821D2C" w:rsidP="001E400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NimbusSanL-Regu" w:hAnsi="NimbusSanL-Regu" w:cs="NimbusSanL-Regu"/>
          <w:color w:val="000000"/>
          <w:sz w:val="17"/>
          <w:szCs w:val="17"/>
        </w:rPr>
      </w:pPr>
      <w:r>
        <w:rPr>
          <w:rFonts w:ascii="NimbusSanL-Regu" w:hAnsi="NimbusSanL-Regu" w:cs="NimbusSanL-Regu"/>
          <w:color w:val="000000"/>
          <w:sz w:val="17"/>
          <w:szCs w:val="17"/>
        </w:rPr>
        <w:t>Tabatha Mires, Secretary</w:t>
      </w:r>
    </w:p>
    <w:p w:rsidR="001E4005" w:rsidRDefault="001E4005" w:rsidP="001E400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NimbusSanL-Regu" w:hAnsi="NimbusSanL-Regu" w:cs="NimbusSanL-Regu"/>
          <w:color w:val="000000"/>
          <w:sz w:val="17"/>
          <w:szCs w:val="17"/>
        </w:rPr>
      </w:pPr>
    </w:p>
    <w:p w:rsidR="00821D2C" w:rsidRDefault="00821D2C" w:rsidP="001E4005">
      <w:pPr>
        <w:autoSpaceDE w:val="0"/>
        <w:autoSpaceDN w:val="0"/>
        <w:adjustRightInd w:val="0"/>
        <w:spacing w:after="0" w:line="240" w:lineRule="auto"/>
        <w:jc w:val="center"/>
        <w:rPr>
          <w:rFonts w:ascii="NimbusSanL-Bold" w:hAnsi="NimbusSanL-Bold" w:cs="NimbusSanL-Bold"/>
          <w:b/>
          <w:bCs/>
          <w:color w:val="000000"/>
          <w:sz w:val="18"/>
          <w:szCs w:val="18"/>
        </w:rPr>
      </w:pPr>
      <w:r>
        <w:rPr>
          <w:rFonts w:ascii="NimbusSanL-Bold" w:hAnsi="NimbusSanL-Bold" w:cs="NimbusSanL-Bold"/>
          <w:b/>
          <w:bCs/>
          <w:color w:val="000000"/>
          <w:sz w:val="18"/>
          <w:szCs w:val="18"/>
        </w:rPr>
        <w:t>WATERVILLE SCHOOL DISTRICT 200 East Birch Street ~ P.O. Box 490 ~ Waterville, WA 98858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34"/>
          <w:szCs w:val="34"/>
        </w:rPr>
      </w:pP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34"/>
          <w:szCs w:val="34"/>
        </w:rPr>
      </w:pP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34"/>
          <w:szCs w:val="34"/>
        </w:rPr>
      </w:pPr>
      <w:r>
        <w:rPr>
          <w:rFonts w:ascii="NimbusSanL-Bold" w:hAnsi="NimbusSanL-Bold" w:cs="NimbusSanL-Bold"/>
          <w:b/>
          <w:bCs/>
          <w:color w:val="000000"/>
          <w:sz w:val="34"/>
          <w:szCs w:val="34"/>
        </w:rPr>
        <w:t>Waterville Board Meeting</w:t>
      </w:r>
    </w:p>
    <w:p w:rsidR="00821D2C" w:rsidRDefault="00821D2C" w:rsidP="001E4005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Regu" w:hAnsi="NimbusSanL-Regu" w:cs="NimbusSanL-Regu"/>
          <w:color w:val="333333"/>
          <w:sz w:val="20"/>
          <w:szCs w:val="20"/>
        </w:rPr>
      </w:pPr>
      <w:r>
        <w:rPr>
          <w:rFonts w:ascii="NimbusSanL-Regu" w:hAnsi="NimbusSanL-Regu" w:cs="NimbusSanL-Regu"/>
          <w:color w:val="333333"/>
          <w:sz w:val="20"/>
          <w:szCs w:val="20"/>
        </w:rPr>
        <w:t>February 28, 2023</w:t>
      </w:r>
    </w:p>
    <w:p w:rsidR="00821D2C" w:rsidRDefault="00821D2C" w:rsidP="001E4005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Regu" w:hAnsi="NimbusSanL-Regu" w:cs="NimbusSanL-Regu"/>
          <w:color w:val="333333"/>
          <w:sz w:val="20"/>
          <w:szCs w:val="20"/>
        </w:rPr>
      </w:pPr>
      <w:r>
        <w:rPr>
          <w:rFonts w:ascii="NimbusSanL-Regu" w:hAnsi="NimbusSanL-Regu" w:cs="NimbusSanL-Regu"/>
          <w:color w:val="333333"/>
          <w:sz w:val="20"/>
          <w:szCs w:val="20"/>
        </w:rPr>
        <w:t>6:00 pm</w:t>
      </w:r>
    </w:p>
    <w:p w:rsidR="00821D2C" w:rsidRDefault="00821D2C" w:rsidP="001E4005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Regu" w:hAnsi="NimbusSanL-Regu" w:cs="NimbusSanL-Regu"/>
          <w:color w:val="333333"/>
          <w:sz w:val="20"/>
          <w:szCs w:val="20"/>
        </w:rPr>
      </w:pPr>
      <w:r>
        <w:rPr>
          <w:rFonts w:ascii="NimbusSanL-Regu" w:hAnsi="NimbusSanL-Regu" w:cs="NimbusSanL-Regu"/>
          <w:color w:val="333333"/>
          <w:sz w:val="20"/>
          <w:szCs w:val="20"/>
        </w:rPr>
        <w:t>Career Center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20"/>
          <w:szCs w:val="20"/>
        </w:rPr>
      </w:pP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8"/>
          <w:szCs w:val="28"/>
        </w:rPr>
      </w:pPr>
      <w:r>
        <w:rPr>
          <w:rFonts w:ascii="NimbusSanL-Bold" w:hAnsi="NimbusSanL-Bold" w:cs="NimbusSanL-Bold"/>
          <w:b/>
          <w:bCs/>
          <w:color w:val="000000"/>
          <w:sz w:val="28"/>
          <w:szCs w:val="28"/>
        </w:rPr>
        <w:t>1. Call to order and flag salute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Regu" w:hAnsi="NimbusSanL-Regu" w:cs="NimbusSanL-Regu"/>
          <w:color w:val="000000"/>
        </w:rPr>
      </w:pPr>
      <w:r>
        <w:rPr>
          <w:rFonts w:ascii="NimbusSanL-Bold" w:hAnsi="NimbusSanL-Bold" w:cs="NimbusSanL-Bold"/>
          <w:b/>
          <w:bCs/>
          <w:color w:val="000000"/>
        </w:rPr>
        <w:t xml:space="preserve">Presenter: </w:t>
      </w:r>
      <w:r>
        <w:rPr>
          <w:rFonts w:ascii="NimbusSanL-Regu" w:hAnsi="NimbusSanL-Regu" w:cs="NimbusSanL-Regu"/>
          <w:color w:val="000000"/>
        </w:rPr>
        <w:t>Stephanie Stibal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8"/>
          <w:szCs w:val="28"/>
        </w:rPr>
      </w:pPr>
      <w:r>
        <w:rPr>
          <w:rFonts w:ascii="NimbusSanL-Bold" w:hAnsi="NimbusSanL-Bold" w:cs="NimbusSanL-Bold"/>
          <w:b/>
          <w:bCs/>
          <w:color w:val="000000"/>
          <w:sz w:val="28"/>
          <w:szCs w:val="28"/>
        </w:rPr>
        <w:t>2. Approve and make additions to Agenda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Regu" w:hAnsi="NimbusSanL-Regu" w:cs="NimbusSanL-Regu"/>
          <w:color w:val="000000"/>
        </w:rPr>
      </w:pPr>
      <w:r>
        <w:rPr>
          <w:rFonts w:ascii="NimbusSanL-Bold" w:hAnsi="NimbusSanL-Bold" w:cs="NimbusSanL-Bold"/>
          <w:b/>
          <w:bCs/>
          <w:color w:val="000000"/>
        </w:rPr>
        <w:t xml:space="preserve">Presenter: </w:t>
      </w:r>
      <w:r>
        <w:rPr>
          <w:rFonts w:ascii="NimbusSanL-Regu" w:hAnsi="NimbusSanL-Regu" w:cs="NimbusSanL-Regu"/>
          <w:color w:val="000000"/>
        </w:rPr>
        <w:t>Stephanie Stibal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8"/>
          <w:szCs w:val="28"/>
        </w:rPr>
      </w:pPr>
      <w:r>
        <w:rPr>
          <w:rFonts w:ascii="NimbusSanL-Bold" w:hAnsi="NimbusSanL-Bold" w:cs="NimbusSanL-Bold"/>
          <w:b/>
          <w:bCs/>
          <w:color w:val="000000"/>
          <w:sz w:val="28"/>
          <w:szCs w:val="28"/>
        </w:rPr>
        <w:t>3. Consent Agenda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Regu" w:hAnsi="NimbusSanL-Regu" w:cs="NimbusSanL-Regu"/>
          <w:color w:val="000000"/>
        </w:rPr>
      </w:pPr>
      <w:r>
        <w:rPr>
          <w:rFonts w:ascii="NimbusSanL-Bold" w:hAnsi="NimbusSanL-Bold" w:cs="NimbusSanL-Bold"/>
          <w:b/>
          <w:bCs/>
          <w:color w:val="000000"/>
        </w:rPr>
        <w:t xml:space="preserve">Presenter: </w:t>
      </w:r>
      <w:r>
        <w:rPr>
          <w:rFonts w:ascii="NimbusSanL-Regu" w:hAnsi="NimbusSanL-Regu" w:cs="NimbusSanL-Regu"/>
          <w:color w:val="000000"/>
        </w:rPr>
        <w:t>Stephanie Stibal</w:t>
      </w:r>
    </w:p>
    <w:p w:rsidR="00821D2C" w:rsidRPr="00514ED5" w:rsidRDefault="00821D2C" w:rsidP="00514E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 w:rsidRPr="00514ED5">
        <w:rPr>
          <w:rFonts w:ascii="NimbusSanL-Bold" w:hAnsi="NimbusSanL-Bold" w:cs="NimbusSanL-Bold"/>
          <w:b/>
          <w:bCs/>
          <w:color w:val="000000"/>
          <w:sz w:val="25"/>
          <w:szCs w:val="25"/>
        </w:rPr>
        <w:t>Board Minutes</w:t>
      </w:r>
    </w:p>
    <w:p w:rsidR="00514ED5" w:rsidRDefault="00514ED5" w:rsidP="00514ED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January Regular Meeting – January 25</w:t>
      </w:r>
      <w:r w:rsidR="006743D8">
        <w:rPr>
          <w:rFonts w:ascii="NimbusSanL-Bold" w:hAnsi="NimbusSanL-Bold" w:cs="NimbusSanL-Bold"/>
          <w:b/>
          <w:bCs/>
          <w:color w:val="000000"/>
          <w:sz w:val="25"/>
          <w:szCs w:val="25"/>
        </w:rPr>
        <w:t>, 2023</w:t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 6 pm</w:t>
      </w:r>
    </w:p>
    <w:p w:rsidR="00514ED5" w:rsidRPr="00514ED5" w:rsidRDefault="00514ED5" w:rsidP="00514ED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February Special Meeting – February 3</w:t>
      </w:r>
      <w:r w:rsidR="006743D8">
        <w:rPr>
          <w:rFonts w:ascii="NimbusSanL-Bold" w:hAnsi="NimbusSanL-Bold" w:cs="NimbusSanL-Bold"/>
          <w:b/>
          <w:bCs/>
          <w:color w:val="000000"/>
          <w:sz w:val="25"/>
          <w:szCs w:val="25"/>
        </w:rPr>
        <w:t>, 2023</w:t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 10 am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b. Accounts Payable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c. Payroll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144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d. Superintendent Report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e. High School Principal Report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144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f. Elementary Principal Report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144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g. Athletic Director Report</w:t>
      </w:r>
    </w:p>
    <w:p w:rsidR="00F57423" w:rsidRDefault="00F57423" w:rsidP="006743D8">
      <w:pPr>
        <w:autoSpaceDE w:val="0"/>
        <w:autoSpaceDN w:val="0"/>
        <w:adjustRightInd w:val="0"/>
        <w:spacing w:after="0" w:line="240" w:lineRule="auto"/>
        <w:ind w:left="144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h. Resignation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h. Donations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</w:r>
      <w:r w:rsidR="00514ED5"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Direct Relief </w:t>
      </w:r>
      <w:r w:rsidR="0041314B">
        <w:rPr>
          <w:rFonts w:ascii="NimbusSanL-Bold" w:hAnsi="NimbusSanL-Bold" w:cs="NimbusSanL-Bold"/>
          <w:b/>
          <w:bCs/>
          <w:color w:val="000000"/>
          <w:sz w:val="25"/>
          <w:szCs w:val="25"/>
        </w:rPr>
        <w:t>D</w:t>
      </w:r>
      <w:r w:rsidR="00514ED5"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onation of Narcan </w:t>
      </w:r>
      <w:r w:rsidR="0041314B">
        <w:rPr>
          <w:rFonts w:ascii="NimbusSanL-Bold" w:hAnsi="NimbusSanL-Bold" w:cs="NimbusSanL-Bold"/>
          <w:b/>
          <w:bCs/>
          <w:color w:val="000000"/>
          <w:sz w:val="25"/>
          <w:szCs w:val="25"/>
        </w:rPr>
        <w:t>V</w:t>
      </w:r>
      <w:r w:rsidR="00514ED5">
        <w:rPr>
          <w:rFonts w:ascii="NimbusSanL-Bold" w:hAnsi="NimbusSanL-Bold" w:cs="NimbusSanL-Bold"/>
          <w:b/>
          <w:bCs/>
          <w:color w:val="000000"/>
          <w:sz w:val="25"/>
          <w:szCs w:val="25"/>
        </w:rPr>
        <w:t>alued at $250.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proofErr w:type="spellStart"/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i</w:t>
      </w:r>
      <w:proofErr w:type="spellEnd"/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. Fund Raisers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j. Surplus Items</w:t>
      </w:r>
    </w:p>
    <w:p w:rsidR="00514ED5" w:rsidRDefault="00514ED5" w:rsidP="00514ED5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 w:rsidRPr="00514ED5">
        <w:rPr>
          <w:rFonts w:ascii="NimbusSanL-Bold" w:hAnsi="NimbusSanL-Bold" w:cs="NimbusSanL-Bold"/>
          <w:b/>
          <w:bCs/>
          <w:noProof/>
          <w:color w:val="000000"/>
          <w:sz w:val="25"/>
          <w:szCs w:val="25"/>
        </w:rPr>
        <w:drawing>
          <wp:inline distT="0" distB="0" distL="0" distR="0" wp14:anchorId="2E3E2A60" wp14:editId="2ABC4BEC">
            <wp:extent cx="5943600" cy="2202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ED5" w:rsidRDefault="00514ED5" w:rsidP="00514ED5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  <w:t xml:space="preserve">k. Correspondence </w:t>
      </w:r>
    </w:p>
    <w:p w:rsidR="00514ED5" w:rsidRDefault="00514ED5" w:rsidP="00514ED5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  <w:t>OSPI Administrative Review – Food Service Closure Correspondence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8"/>
          <w:szCs w:val="28"/>
        </w:rPr>
      </w:pPr>
      <w:r>
        <w:rPr>
          <w:rFonts w:ascii="NimbusSanL-Bold" w:hAnsi="NimbusSanL-Bold" w:cs="NimbusSanL-Bold"/>
          <w:b/>
          <w:bCs/>
          <w:color w:val="000000"/>
          <w:sz w:val="28"/>
          <w:szCs w:val="28"/>
        </w:rPr>
        <w:t>4. Public Comments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a. Written comments will only be accepted via regular mail to Waterville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School District, or email to gmullendore@waterville.wednet.edu.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Comments critical of personnel, students or volunteers will not be read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given privacy concerns. Instead, they will be referred to the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Superintendent for further inquiry and possible action.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8"/>
          <w:szCs w:val="28"/>
        </w:rPr>
      </w:pPr>
      <w:r>
        <w:rPr>
          <w:rFonts w:ascii="NimbusSanL-Bold" w:hAnsi="NimbusSanL-Bold" w:cs="NimbusSanL-Bold"/>
          <w:b/>
          <w:bCs/>
          <w:color w:val="000000"/>
          <w:sz w:val="28"/>
          <w:szCs w:val="28"/>
        </w:rPr>
        <w:t xml:space="preserve"> 5. Reports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a. Financial Report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Regu" w:hAnsi="NimbusSanL-Regu" w:cs="NimbusSanL-Regu"/>
          <w:color w:val="000000"/>
        </w:rPr>
      </w:pPr>
      <w:r>
        <w:rPr>
          <w:rFonts w:ascii="NimbusSanL-Bold" w:hAnsi="NimbusSanL-Bold" w:cs="NimbusSanL-Bold"/>
          <w:b/>
          <w:bCs/>
          <w:color w:val="000000"/>
        </w:rPr>
        <w:t xml:space="preserve">Presenter: </w:t>
      </w:r>
      <w:r>
        <w:rPr>
          <w:rFonts w:ascii="NimbusSanL-Regu" w:hAnsi="NimbusSanL-Regu" w:cs="NimbusSanL-Regu"/>
          <w:color w:val="000000"/>
        </w:rPr>
        <w:t>Sally Ryan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b. Superintendent Update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Regu" w:hAnsi="NimbusSanL-Regu" w:cs="NimbusSanL-Regu"/>
          <w:color w:val="000000"/>
        </w:rPr>
      </w:pPr>
      <w:r>
        <w:rPr>
          <w:rFonts w:ascii="NimbusSanL-Bold" w:hAnsi="NimbusSanL-Bold" w:cs="NimbusSanL-Bold"/>
          <w:b/>
          <w:bCs/>
          <w:color w:val="000000"/>
        </w:rPr>
        <w:t xml:space="preserve">Presenter: </w:t>
      </w:r>
      <w:r>
        <w:rPr>
          <w:rFonts w:ascii="NimbusSanL-Regu" w:hAnsi="NimbusSanL-Regu" w:cs="NimbusSanL-Regu"/>
          <w:color w:val="000000"/>
        </w:rPr>
        <w:t>Tabatha Mires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c. Legislative Report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Regu" w:hAnsi="NimbusSanL-Regu" w:cs="NimbusSanL-Regu"/>
          <w:color w:val="000000"/>
        </w:rPr>
      </w:pPr>
      <w:r>
        <w:rPr>
          <w:rFonts w:ascii="NimbusSanL-Bold" w:hAnsi="NimbusSanL-Bold" w:cs="NimbusSanL-Bold"/>
          <w:b/>
          <w:bCs/>
          <w:color w:val="000000"/>
        </w:rPr>
        <w:t xml:space="preserve">Presenter: </w:t>
      </w:r>
      <w:r>
        <w:rPr>
          <w:rFonts w:ascii="NimbusSanL-Regu" w:hAnsi="NimbusSanL-Regu" w:cs="NimbusSanL-Regu"/>
          <w:color w:val="000000"/>
        </w:rPr>
        <w:t>Marty Wachtel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8"/>
          <w:szCs w:val="28"/>
        </w:rPr>
      </w:pPr>
      <w:r>
        <w:rPr>
          <w:rFonts w:ascii="NimbusSanL-Bold" w:hAnsi="NimbusSanL-Bold" w:cs="NimbusSanL-Bold"/>
          <w:b/>
          <w:bCs/>
          <w:color w:val="000000"/>
          <w:sz w:val="28"/>
          <w:szCs w:val="28"/>
        </w:rPr>
        <w:t>6. New Business</w:t>
      </w:r>
    </w:p>
    <w:p w:rsidR="00F57423" w:rsidRDefault="00821D2C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a. </w:t>
      </w:r>
      <w:r w:rsidR="00F57423">
        <w:rPr>
          <w:rFonts w:ascii="NimbusSanL-Bold" w:hAnsi="NimbusSanL-Bold" w:cs="NimbusSanL-Bold"/>
          <w:b/>
          <w:bCs/>
          <w:color w:val="000000"/>
          <w:sz w:val="25"/>
          <w:szCs w:val="25"/>
        </w:rPr>
        <w:t>2023-2024 Staffing and Budget</w:t>
      </w:r>
    </w:p>
    <w:p w:rsidR="006743D8" w:rsidRDefault="00F57423" w:rsidP="006743D8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  <w:t xml:space="preserve">Presenter: </w:t>
      </w:r>
      <w:r w:rsidRPr="001E4005">
        <w:rPr>
          <w:rFonts w:ascii="NimbusSanL-Bold" w:hAnsi="NimbusSanL-Bold" w:cs="NimbusSanL-Bold"/>
          <w:bCs/>
          <w:color w:val="000000"/>
          <w:sz w:val="25"/>
          <w:szCs w:val="25"/>
        </w:rPr>
        <w:t>Tabatha Mires/Sally Ryan/ Jon Gasbar/Tayn Kendrick</w:t>
      </w:r>
    </w:p>
    <w:p w:rsidR="006743D8" w:rsidRPr="006743D8" w:rsidRDefault="006743D8" w:rsidP="006743D8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 w:rsidRPr="006743D8">
        <w:rPr>
          <w:rFonts w:ascii="NimbusSanL-Bold" w:hAnsi="NimbusSanL-Bold" w:cs="NimbusSanL-Bold"/>
          <w:b/>
          <w:bCs/>
          <w:color w:val="000000"/>
          <w:sz w:val="25"/>
          <w:szCs w:val="25"/>
        </w:rPr>
        <w:t>b.</w:t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 </w:t>
      </w:r>
      <w:r w:rsidR="001E4005" w:rsidRPr="006743D8">
        <w:rPr>
          <w:rFonts w:ascii="NimbusSanL-Bold" w:hAnsi="NimbusSanL-Bold" w:cs="NimbusSanL-Bold"/>
          <w:b/>
          <w:bCs/>
          <w:color w:val="000000"/>
          <w:sz w:val="25"/>
          <w:szCs w:val="25"/>
        </w:rPr>
        <w:t>Facilities and Clean Buildings Legislation</w:t>
      </w:r>
      <w:r w:rsidR="007A0046"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 </w:t>
      </w:r>
      <w:hyperlink r:id="rId6" w:history="1">
        <w:r w:rsidR="007A0046" w:rsidRPr="00C50CA4">
          <w:rPr>
            <w:rStyle w:val="Hyperlink"/>
            <w:rFonts w:ascii="NimbusSanL-Bold" w:hAnsi="NimbusSanL-Bold" w:cs="NimbusSanL-Bold"/>
            <w:b/>
            <w:bCs/>
            <w:sz w:val="25"/>
            <w:szCs w:val="25"/>
          </w:rPr>
          <w:t>https://www.commerce.wa.gov/growing-the-economy/energy/buildings/</w:t>
        </w:r>
      </w:hyperlink>
      <w:r w:rsidR="007A0046"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 </w:t>
      </w:r>
    </w:p>
    <w:p w:rsidR="006743D8" w:rsidRPr="006743D8" w:rsidRDefault="006743D8" w:rsidP="006743D8">
      <w:pPr>
        <w:ind w:firstLine="720"/>
      </w:pPr>
      <w:r>
        <w:tab/>
      </w:r>
      <w:r>
        <w:rPr>
          <w:b/>
        </w:rPr>
        <w:t xml:space="preserve">Presenter: </w:t>
      </w:r>
      <w:r>
        <w:t>Tabatha Mires</w:t>
      </w:r>
    </w:p>
    <w:p w:rsidR="006743D8" w:rsidRPr="006743D8" w:rsidRDefault="006743D8" w:rsidP="006743D8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 w:rsidRPr="006743D8">
        <w:rPr>
          <w:rFonts w:ascii="NimbusSanL-Bold" w:hAnsi="NimbusSanL-Bold" w:cs="NimbusSanL-Bold"/>
          <w:b/>
          <w:bCs/>
          <w:color w:val="000000"/>
          <w:sz w:val="25"/>
          <w:szCs w:val="25"/>
        </w:rPr>
        <w:t>c.</w:t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 </w:t>
      </w:r>
      <w:r w:rsidRPr="006743D8">
        <w:rPr>
          <w:rFonts w:ascii="NimbusSanL-Bold" w:hAnsi="NimbusSanL-Bold" w:cs="NimbusSanL-Bold"/>
          <w:b/>
          <w:bCs/>
          <w:color w:val="000000"/>
          <w:sz w:val="25"/>
          <w:szCs w:val="25"/>
        </w:rPr>
        <w:t>Legislative Assembly WSSDA Resolution (Action)</w:t>
      </w:r>
    </w:p>
    <w:p w:rsidR="006743D8" w:rsidRPr="006743D8" w:rsidRDefault="006743D8" w:rsidP="006743D8">
      <w:pPr>
        <w:ind w:firstLine="720"/>
      </w:pPr>
      <w:r>
        <w:tab/>
      </w:r>
      <w:r>
        <w:rPr>
          <w:b/>
        </w:rPr>
        <w:t xml:space="preserve">Presenter: </w:t>
      </w:r>
      <w:r>
        <w:t>Martin Wachtel</w:t>
      </w:r>
    </w:p>
    <w:p w:rsidR="00821D2C" w:rsidRDefault="006743D8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>d</w:t>
      </w:r>
      <w:r w:rsidR="00F57423"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. </w:t>
      </w:r>
      <w:r w:rsidR="00821D2C">
        <w:rPr>
          <w:rFonts w:ascii="NimbusSanL-Bold" w:hAnsi="NimbusSanL-Bold" w:cs="NimbusSanL-Bold"/>
          <w:b/>
          <w:bCs/>
          <w:color w:val="000000"/>
          <w:sz w:val="25"/>
          <w:szCs w:val="25"/>
        </w:rPr>
        <w:t>Bilingual Program Approval</w:t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 (Action)</w:t>
      </w:r>
    </w:p>
    <w:p w:rsidR="003602E7" w:rsidRDefault="003602E7" w:rsidP="00821D2C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</w:r>
      <w:hyperlink r:id="rId7" w:history="1">
        <w:r w:rsidRPr="00BB4997">
          <w:rPr>
            <w:rStyle w:val="Hyperlink"/>
            <w:rFonts w:ascii="NimbusSanL-Bold" w:hAnsi="NimbusSanL-Bold" w:cs="NimbusSanL-Bold"/>
            <w:b/>
            <w:bCs/>
            <w:sz w:val="25"/>
            <w:szCs w:val="25"/>
          </w:rPr>
          <w:t>https://eds.ospi.k12.wa.us/iGrants/(S(a3ndou45mrixokbi4hfa0o45))/WebPages/GrantWriterPages/FormPagePrint.aspx?printable=true&amp;PrintAll=true&amp;Id=4028&amp;Number=1&amp;PNumber=1&amp;HId=100288&amp;PHId=-1&amp;GM=0&amp;FPID=3809</w:t>
        </w:r>
      </w:hyperlink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 </w:t>
      </w:r>
    </w:p>
    <w:p w:rsidR="00F57423" w:rsidRDefault="00821D2C" w:rsidP="00F574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SanL-Regu" w:hAnsi="NimbusSanL-Regu" w:cs="NimbusSanL-Regu"/>
          <w:color w:val="000000"/>
        </w:rPr>
      </w:pPr>
      <w:r>
        <w:rPr>
          <w:rFonts w:ascii="NimbusSanL-Bold" w:hAnsi="NimbusSanL-Bold" w:cs="NimbusSanL-Bold"/>
          <w:b/>
          <w:bCs/>
          <w:color w:val="000000"/>
        </w:rPr>
        <w:t xml:space="preserve">Presenter: </w:t>
      </w:r>
      <w:r>
        <w:rPr>
          <w:rFonts w:ascii="NimbusSanL-Regu" w:hAnsi="NimbusSanL-Regu" w:cs="NimbusSanL-Regu"/>
          <w:color w:val="000000"/>
        </w:rPr>
        <w:t>Tabatha Mires / John Mullen</w:t>
      </w:r>
    </w:p>
    <w:p w:rsidR="007A0046" w:rsidRPr="007A0046" w:rsidRDefault="007A0046" w:rsidP="007A0046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Regu" w:hAnsi="NimbusSanL-Regu" w:cs="NimbusSanL-Regu"/>
          <w:b/>
          <w:color w:val="000000"/>
        </w:rPr>
      </w:pPr>
      <w:r>
        <w:rPr>
          <w:rFonts w:ascii="NimbusSanL-Bold" w:hAnsi="NimbusSanL-Bold" w:cs="NimbusSanL-Bold"/>
          <w:b/>
          <w:bCs/>
          <w:color w:val="000000"/>
        </w:rPr>
        <w:t>e.</w:t>
      </w:r>
      <w:r>
        <w:rPr>
          <w:rFonts w:ascii="NimbusSanL-Regu" w:hAnsi="NimbusSanL-Regu" w:cs="NimbusSanL-Regu"/>
          <w:color w:val="000000"/>
        </w:rPr>
        <w:t xml:space="preserve"> </w:t>
      </w:r>
      <w:r w:rsidRPr="007A0046">
        <w:rPr>
          <w:rFonts w:ascii="NimbusSanL-Regu" w:hAnsi="NimbusSanL-Regu" w:cs="NimbusSanL-Regu"/>
          <w:b/>
          <w:color w:val="000000"/>
        </w:rPr>
        <w:t>Social Media Legislation</w:t>
      </w:r>
    </w:p>
    <w:p w:rsidR="007A0046" w:rsidRDefault="007A0046" w:rsidP="007A0046">
      <w:pPr>
        <w:autoSpaceDE w:val="0"/>
        <w:autoSpaceDN w:val="0"/>
        <w:adjustRightInd w:val="0"/>
        <w:spacing w:after="0" w:line="240" w:lineRule="auto"/>
        <w:ind w:firstLine="720"/>
        <w:rPr>
          <w:rFonts w:ascii="NimbusSanL-Regu" w:hAnsi="NimbusSanL-Regu" w:cs="NimbusSanL-Regu"/>
          <w:color w:val="000000"/>
        </w:rPr>
      </w:pPr>
      <w:r w:rsidRPr="007A0046">
        <w:rPr>
          <w:rFonts w:ascii="NimbusSanL-Regu" w:hAnsi="NimbusSanL-Regu" w:cs="NimbusSanL-Regu"/>
          <w:b/>
          <w:color w:val="000000"/>
        </w:rPr>
        <w:tab/>
        <w:t xml:space="preserve">Presenter: </w:t>
      </w:r>
      <w:r>
        <w:rPr>
          <w:rFonts w:ascii="NimbusSanL-Regu" w:hAnsi="NimbusSanL-Regu" w:cs="NimbusSanL-Regu"/>
          <w:color w:val="000000"/>
        </w:rPr>
        <w:t>Tabatha Mires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8"/>
          <w:szCs w:val="28"/>
        </w:rPr>
      </w:pPr>
      <w:r>
        <w:rPr>
          <w:rFonts w:ascii="NimbusSanL-Bold" w:hAnsi="NimbusSanL-Bold" w:cs="NimbusSanL-Bold"/>
          <w:b/>
          <w:bCs/>
          <w:color w:val="000000"/>
          <w:sz w:val="28"/>
          <w:szCs w:val="28"/>
        </w:rPr>
        <w:t>7. Old Business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8"/>
          <w:szCs w:val="28"/>
        </w:rPr>
        <w:tab/>
      </w:r>
      <w:r w:rsidRPr="00F57423">
        <w:rPr>
          <w:rFonts w:ascii="NimbusSanL-Bold" w:hAnsi="NimbusSanL-Bold" w:cs="NimbusSanL-Bold"/>
          <w:b/>
          <w:bCs/>
          <w:color w:val="000000"/>
          <w:sz w:val="25"/>
          <w:szCs w:val="25"/>
        </w:rPr>
        <w:t>a. Wellness Goals 2022-2023 (Action)</w:t>
      </w:r>
    </w:p>
    <w:p w:rsidR="006743D8" w:rsidRPr="006743D8" w:rsidRDefault="006743D8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Cs/>
          <w:color w:val="000000"/>
          <w:sz w:val="25"/>
          <w:szCs w:val="25"/>
        </w:rPr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</w:r>
      <w:bookmarkStart w:id="0" w:name="_Hlk128364340"/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Presenter: </w:t>
      </w:r>
      <w:r>
        <w:rPr>
          <w:rFonts w:ascii="NimbusSanL-Bold" w:hAnsi="NimbusSanL-Bold" w:cs="NimbusSanL-Bold"/>
          <w:bCs/>
          <w:color w:val="000000"/>
          <w:sz w:val="25"/>
          <w:szCs w:val="25"/>
        </w:rPr>
        <w:t>Tabatha Mires</w:t>
      </w:r>
      <w:bookmarkEnd w:id="0"/>
    </w:p>
    <w:p w:rsidR="00F57423" w:rsidRPr="006743D8" w:rsidRDefault="006743D8" w:rsidP="006743D8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 w:rsidRPr="006743D8"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  <w:t>b</w:t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. </w:t>
      </w:r>
      <w:r w:rsidR="00F57423" w:rsidRPr="006743D8">
        <w:rPr>
          <w:rFonts w:ascii="NimbusSanL-Bold" w:hAnsi="NimbusSanL-Bold" w:cs="NimbusSanL-Bold"/>
          <w:b/>
          <w:bCs/>
          <w:color w:val="000000"/>
          <w:sz w:val="25"/>
          <w:szCs w:val="25"/>
        </w:rPr>
        <w:t>JUUL Settlement Update and Board Acceptance (Action)</w:t>
      </w:r>
    </w:p>
    <w:p w:rsidR="006743D8" w:rsidRPr="006743D8" w:rsidRDefault="006743D8" w:rsidP="006743D8">
      <w:pPr>
        <w:ind w:left="720" w:firstLine="720"/>
      </w:pP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Presenter: </w:t>
      </w:r>
      <w:r>
        <w:rPr>
          <w:rFonts w:ascii="NimbusSanL-Bold" w:hAnsi="NimbusSanL-Bold" w:cs="NimbusSanL-Bold"/>
          <w:bCs/>
          <w:color w:val="000000"/>
          <w:sz w:val="25"/>
          <w:szCs w:val="25"/>
        </w:rPr>
        <w:t>Tabatha Mires</w:t>
      </w:r>
    </w:p>
    <w:p w:rsidR="001E4005" w:rsidRPr="006743D8" w:rsidRDefault="006743D8" w:rsidP="006743D8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5"/>
          <w:szCs w:val="25"/>
        </w:rPr>
      </w:pPr>
      <w:r w:rsidRPr="006743D8">
        <w:rPr>
          <w:rFonts w:ascii="NimbusSanL-Bold" w:hAnsi="NimbusSanL-Bold" w:cs="NimbusSanL-Bold"/>
          <w:b/>
          <w:bCs/>
          <w:color w:val="000000"/>
          <w:sz w:val="25"/>
          <w:szCs w:val="25"/>
        </w:rPr>
        <w:tab/>
        <w:t>c</w:t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. </w:t>
      </w:r>
      <w:r w:rsidR="001E4005" w:rsidRPr="006743D8">
        <w:rPr>
          <w:rFonts w:ascii="NimbusSanL-Bold" w:hAnsi="NimbusSanL-Bold" w:cs="NimbusSanL-Bold"/>
          <w:b/>
          <w:bCs/>
          <w:color w:val="000000"/>
          <w:sz w:val="25"/>
          <w:szCs w:val="25"/>
        </w:rPr>
        <w:t>Transportation Agreement Update and Next Steps</w:t>
      </w:r>
    </w:p>
    <w:p w:rsidR="006743D8" w:rsidRPr="006743D8" w:rsidRDefault="006743D8" w:rsidP="006743D8">
      <w:r>
        <w:tab/>
      </w:r>
      <w:r>
        <w:tab/>
      </w:r>
      <w:r>
        <w:rPr>
          <w:rFonts w:ascii="NimbusSanL-Bold" w:hAnsi="NimbusSanL-Bold" w:cs="NimbusSanL-Bold"/>
          <w:b/>
          <w:bCs/>
          <w:color w:val="000000"/>
          <w:sz w:val="25"/>
          <w:szCs w:val="25"/>
        </w:rPr>
        <w:t xml:space="preserve">Presenter: </w:t>
      </w:r>
      <w:r>
        <w:rPr>
          <w:rFonts w:ascii="NimbusSanL-Bold" w:hAnsi="NimbusSanL-Bold" w:cs="NimbusSanL-Bold"/>
          <w:bCs/>
          <w:color w:val="000000"/>
          <w:sz w:val="25"/>
          <w:szCs w:val="25"/>
        </w:rPr>
        <w:t>Tabatha Mires</w:t>
      </w:r>
    </w:p>
    <w:p w:rsidR="00821D2C" w:rsidRDefault="00821D2C" w:rsidP="00821D2C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8"/>
          <w:szCs w:val="28"/>
        </w:rPr>
      </w:pPr>
      <w:r>
        <w:rPr>
          <w:rFonts w:ascii="NimbusSanL-Bold" w:hAnsi="NimbusSanL-Bold" w:cs="NimbusSanL-Bold"/>
          <w:b/>
          <w:bCs/>
          <w:color w:val="000000"/>
          <w:sz w:val="28"/>
          <w:szCs w:val="28"/>
        </w:rPr>
        <w:t>8. Regular Board Meeting Adjournment</w:t>
      </w:r>
    </w:p>
    <w:p w:rsidR="00E307A1" w:rsidRDefault="00E307A1" w:rsidP="00821D2C"/>
    <w:sectPr w:rsidR="00E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3EC8"/>
    <w:multiLevelType w:val="hybridMultilevel"/>
    <w:tmpl w:val="0892307C"/>
    <w:lvl w:ilvl="0" w:tplc="56100F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2C"/>
    <w:rsid w:val="001E4005"/>
    <w:rsid w:val="003602E7"/>
    <w:rsid w:val="0041314B"/>
    <w:rsid w:val="00514ED5"/>
    <w:rsid w:val="006743D8"/>
    <w:rsid w:val="00692F5D"/>
    <w:rsid w:val="007A0046"/>
    <w:rsid w:val="00821D2C"/>
    <w:rsid w:val="00D4460A"/>
    <w:rsid w:val="00E307A1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14BB"/>
  <w15:chartTrackingRefBased/>
  <w15:docId w15:val="{91778910-3726-4F98-A266-D8475B9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.ospi.k12.wa.us/iGrants/(S(a3ndou45mrixokbi4hfa0o45))/WebPages/GrantWriterPages/FormPagePrint.aspx?printable=true&amp;PrintAll=true&amp;Id=4028&amp;Number=1&amp;PNumber=1&amp;HId=100288&amp;PHId=-1&amp;GM=0&amp;FPID=3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erce.wa.gov/growing-the-economy/energy/building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Waterville School District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Mires</dc:creator>
  <cp:keywords/>
  <dc:description/>
  <cp:lastModifiedBy>Tabatha Mires</cp:lastModifiedBy>
  <cp:revision>10</cp:revision>
  <dcterms:created xsi:type="dcterms:W3CDTF">2023-02-26T18:03:00Z</dcterms:created>
  <dcterms:modified xsi:type="dcterms:W3CDTF">2023-02-27T12:55:00Z</dcterms:modified>
</cp:coreProperties>
</file>