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B7EA" w14:textId="77777777" w:rsidR="006D751B" w:rsidRPr="00463220" w:rsidRDefault="006D751B">
      <w:pPr>
        <w:rPr>
          <w:rFonts w:ascii="Times New Roman" w:hAnsi="Times New Roman" w:cs="Times New Roman"/>
          <w:b/>
          <w:sz w:val="25"/>
          <w:szCs w:val="25"/>
        </w:rPr>
      </w:pPr>
      <w:r w:rsidRPr="00463220">
        <w:rPr>
          <w:rFonts w:ascii="Times New Roman" w:hAnsi="Times New Roman" w:cs="Times New Roman"/>
          <w:b/>
          <w:sz w:val="25"/>
          <w:szCs w:val="25"/>
        </w:rPr>
        <w:t>Facility Use</w:t>
      </w:r>
      <w:r w:rsidR="005A76AC" w:rsidRPr="00463220">
        <w:rPr>
          <w:rFonts w:ascii="Times New Roman" w:hAnsi="Times New Roman" w:cs="Times New Roman"/>
          <w:b/>
          <w:sz w:val="25"/>
          <w:szCs w:val="25"/>
        </w:rPr>
        <w:t xml:space="preserve"> Fee Schedule</w:t>
      </w:r>
    </w:p>
    <w:p w14:paraId="61C24B18" w14:textId="77777777" w:rsidR="006D751B" w:rsidRPr="005A76AC" w:rsidRDefault="006D751B">
      <w:pPr>
        <w:rPr>
          <w:rFonts w:ascii="Times New Roman" w:hAnsi="Times New Roman" w:cs="Times New Roman"/>
          <w:sz w:val="25"/>
          <w:szCs w:val="25"/>
        </w:rPr>
      </w:pPr>
      <w:r w:rsidRPr="005A76AC">
        <w:rPr>
          <w:rFonts w:ascii="Times New Roman" w:hAnsi="Times New Roman" w:cs="Times New Roman"/>
          <w:sz w:val="25"/>
          <w:szCs w:val="25"/>
        </w:rPr>
        <w:t>Scheduling precedence shall be given to groups in order of their numbered classification (see Facility Use Classification Schedule) and date of receipt of written application by the Superintendent. Rental char</w:t>
      </w:r>
      <w:bookmarkStart w:id="0" w:name="_GoBack"/>
      <w:bookmarkEnd w:id="0"/>
      <w:r w:rsidRPr="005A76AC">
        <w:rPr>
          <w:rFonts w:ascii="Times New Roman" w:hAnsi="Times New Roman" w:cs="Times New Roman"/>
          <w:sz w:val="25"/>
          <w:szCs w:val="25"/>
        </w:rPr>
        <w:t>ges shall be levied on the following basis:</w:t>
      </w:r>
    </w:p>
    <w:p w14:paraId="75C7D5AC" w14:textId="77777777" w:rsidR="006D751B" w:rsidRPr="005A76AC" w:rsidRDefault="006D751B">
      <w:pPr>
        <w:rPr>
          <w:rFonts w:ascii="Times New Roman" w:hAnsi="Times New Roman" w:cs="Times New Roman"/>
          <w:sz w:val="25"/>
          <w:szCs w:val="25"/>
        </w:rPr>
      </w:pPr>
      <w:r w:rsidRPr="005A76AC">
        <w:rPr>
          <w:rFonts w:ascii="Times New Roman" w:hAnsi="Times New Roman" w:cs="Times New Roman"/>
          <w:sz w:val="25"/>
          <w:szCs w:val="25"/>
        </w:rPr>
        <w:t>Group 1 – No fee</w:t>
      </w:r>
    </w:p>
    <w:p w14:paraId="0E5D0E4A" w14:textId="3D040C42" w:rsidR="006D751B" w:rsidRPr="005A76AC" w:rsidRDefault="006D751B">
      <w:pPr>
        <w:rPr>
          <w:rFonts w:ascii="Times New Roman" w:hAnsi="Times New Roman" w:cs="Times New Roman"/>
          <w:sz w:val="25"/>
          <w:szCs w:val="25"/>
        </w:rPr>
      </w:pPr>
      <w:r w:rsidRPr="005A76AC">
        <w:rPr>
          <w:rFonts w:ascii="Times New Roman" w:hAnsi="Times New Roman" w:cs="Times New Roman"/>
          <w:sz w:val="25"/>
          <w:szCs w:val="25"/>
        </w:rPr>
        <w:t>Group 2 – No fee when used on an admission-free basis on school nights</w:t>
      </w:r>
      <w:r w:rsidRPr="0090634F">
        <w:rPr>
          <w:rFonts w:ascii="Times New Roman" w:hAnsi="Times New Roman" w:cs="Times New Roman"/>
          <w:sz w:val="25"/>
          <w:szCs w:val="25"/>
          <w:highlight w:val="yellow"/>
        </w:rPr>
        <w:t>.</w:t>
      </w:r>
      <w:r w:rsidR="0090634F" w:rsidRPr="0090634F">
        <w:rPr>
          <w:rFonts w:ascii="Times New Roman" w:hAnsi="Times New Roman" w:cs="Times New Roman"/>
          <w:sz w:val="25"/>
          <w:szCs w:val="25"/>
          <w:highlight w:val="yellow"/>
        </w:rPr>
        <w:t xml:space="preserve">  No fee when used outside of the regular school calendar or on weekends if agreed upon by group and athletic director in conjunction with set up, clean up and nominal supervision is provided by district staff.</w:t>
      </w:r>
    </w:p>
    <w:p w14:paraId="22F9E874" w14:textId="2B6F39A2" w:rsidR="00EB61C6" w:rsidRPr="005A76AC" w:rsidRDefault="006D751B">
      <w:pPr>
        <w:rPr>
          <w:rFonts w:ascii="Times New Roman" w:hAnsi="Times New Roman" w:cs="Times New Roman"/>
          <w:sz w:val="25"/>
          <w:szCs w:val="25"/>
        </w:rPr>
      </w:pPr>
      <w:r w:rsidRPr="005A76AC">
        <w:rPr>
          <w:rFonts w:ascii="Times New Roman" w:hAnsi="Times New Roman" w:cs="Times New Roman"/>
          <w:sz w:val="25"/>
          <w:szCs w:val="25"/>
        </w:rPr>
        <w:t xml:space="preserve">Group 3 – See Table of Charges. </w:t>
      </w:r>
      <w:r w:rsidR="0090634F">
        <w:rPr>
          <w:rFonts w:ascii="Times New Roman" w:hAnsi="Times New Roman" w:cs="Times New Roman"/>
          <w:sz w:val="25"/>
          <w:szCs w:val="25"/>
        </w:rPr>
        <w:t>F</w:t>
      </w:r>
      <w:r w:rsidRPr="005A76AC">
        <w:rPr>
          <w:rFonts w:ascii="Times New Roman" w:hAnsi="Times New Roman" w:cs="Times New Roman"/>
          <w:sz w:val="25"/>
          <w:szCs w:val="25"/>
        </w:rPr>
        <w:t>ee to cover lights, heat, etc. when used on an admission – free basis outside the normal</w:t>
      </w:r>
      <w:r w:rsidR="00EB61C6" w:rsidRPr="005A76AC">
        <w:rPr>
          <w:rFonts w:ascii="Times New Roman" w:hAnsi="Times New Roman" w:cs="Times New Roman"/>
          <w:sz w:val="25"/>
          <w:szCs w:val="25"/>
        </w:rPr>
        <w:t xml:space="preserve"> school day hours.</w:t>
      </w:r>
    </w:p>
    <w:p w14:paraId="68576D20" w14:textId="77777777" w:rsidR="006D751B" w:rsidRPr="005A76AC" w:rsidRDefault="00EB61C6">
      <w:pPr>
        <w:rPr>
          <w:rFonts w:ascii="Times New Roman" w:hAnsi="Times New Roman" w:cs="Times New Roman"/>
          <w:sz w:val="25"/>
          <w:szCs w:val="25"/>
        </w:rPr>
      </w:pPr>
      <w:r w:rsidRPr="005A76AC">
        <w:rPr>
          <w:rFonts w:ascii="Times New Roman" w:hAnsi="Times New Roman" w:cs="Times New Roman"/>
          <w:sz w:val="25"/>
          <w:szCs w:val="25"/>
        </w:rPr>
        <w:t>Group 4 - See Table of Charges. Nominal fee to cover lights, heat, etc. when used on an admission – free basis outside the normal school day hours.</w:t>
      </w:r>
    </w:p>
    <w:p w14:paraId="7D024D4C" w14:textId="77777777" w:rsidR="00EB61C6" w:rsidRPr="005A76AC" w:rsidRDefault="00EB61C6">
      <w:pPr>
        <w:rPr>
          <w:rFonts w:ascii="Times New Roman" w:hAnsi="Times New Roman" w:cs="Times New Roman"/>
          <w:sz w:val="25"/>
          <w:szCs w:val="25"/>
        </w:rPr>
      </w:pPr>
      <w:r w:rsidRPr="005A76AC">
        <w:rPr>
          <w:rFonts w:ascii="Times New Roman" w:hAnsi="Times New Roman" w:cs="Times New Roman"/>
          <w:sz w:val="25"/>
          <w:szCs w:val="25"/>
        </w:rPr>
        <w:t>All charges shall exclude the charges for services of special school personnel such as custodians and supervisors who are required for the facilities used. These charges will be in addition to the rental/use fee. The need for such special personnel shall be determined at the time of written application. Use of the kitchens and/or cooking equipment is specifically prohibited without a regular school cook on duty unless approved by the Superintendent with concurrence of the food service department.</w:t>
      </w:r>
    </w:p>
    <w:p w14:paraId="5C5C534B" w14:textId="77777777" w:rsidR="00EB61C6" w:rsidRPr="005A76AC" w:rsidRDefault="00EB61C6" w:rsidP="005A76AC">
      <w:pPr>
        <w:rPr>
          <w:rFonts w:ascii="Times New Roman" w:hAnsi="Times New Roman" w:cs="Times New Roman"/>
          <w:sz w:val="25"/>
          <w:szCs w:val="25"/>
        </w:rPr>
      </w:pPr>
      <w:r w:rsidRPr="005A76AC">
        <w:rPr>
          <w:rFonts w:ascii="Times New Roman" w:hAnsi="Times New Roman" w:cs="Times New Roman"/>
          <w:sz w:val="25"/>
          <w:szCs w:val="25"/>
        </w:rPr>
        <w:t>Appropriate school personnel must be present at all times facilities are in use, unless approved by the Superintendent. If such service is voluntary, no fee for that service will be assessed. Custodial fees (including supervision, if necessary) will be assessed at the current rate plus benefits and overtime pay, if applicable.</w:t>
      </w:r>
    </w:p>
    <w:p w14:paraId="5CF459A8" w14:textId="77777777" w:rsidR="00EB61C6" w:rsidRDefault="00EB61C6" w:rsidP="00EB61C6">
      <w:pPr>
        <w:spacing w:line="192" w:lineRule="auto"/>
        <w:jc w:val="center"/>
        <w:rPr>
          <w:rFonts w:ascii="Times New Roman" w:hAnsi="Times New Roman" w:cs="Times New Roman"/>
          <w:b/>
          <w:sz w:val="24"/>
          <w:u w:val="single"/>
        </w:rPr>
      </w:pPr>
      <w:r w:rsidRPr="00EB61C6">
        <w:rPr>
          <w:rFonts w:ascii="Times New Roman" w:hAnsi="Times New Roman" w:cs="Times New Roman"/>
          <w:b/>
          <w:sz w:val="24"/>
          <w:u w:val="single"/>
        </w:rPr>
        <w:t>Table of Charges for Use of Facilities</w:t>
      </w:r>
    </w:p>
    <w:p w14:paraId="25207413" w14:textId="77777777" w:rsidR="00EB61C6" w:rsidRDefault="00EB61C6" w:rsidP="00EB61C6">
      <w:pPr>
        <w:spacing w:line="192" w:lineRule="auto"/>
        <w:jc w:val="center"/>
        <w:rPr>
          <w:rFonts w:ascii="Times New Roman" w:hAnsi="Times New Roman" w:cs="Times New Roman"/>
          <w:sz w:val="24"/>
        </w:rPr>
      </w:pPr>
      <w:r w:rsidRPr="00EB61C6">
        <w:rPr>
          <w:rFonts w:ascii="Times New Roman" w:hAnsi="Times New Roman" w:cs="Times New Roman"/>
          <w:sz w:val="24"/>
        </w:rPr>
        <w:t>*Based on each 3-hour increment on time.</w:t>
      </w:r>
    </w:p>
    <w:tbl>
      <w:tblPr>
        <w:tblStyle w:val="TableGrid"/>
        <w:tblW w:w="0" w:type="auto"/>
        <w:tblInd w:w="-365" w:type="dxa"/>
        <w:tblLook w:val="04A0" w:firstRow="1" w:lastRow="0" w:firstColumn="1" w:lastColumn="0" w:noHBand="0" w:noVBand="1"/>
      </w:tblPr>
      <w:tblGrid>
        <w:gridCol w:w="4140"/>
        <w:gridCol w:w="1530"/>
        <w:gridCol w:w="4045"/>
      </w:tblGrid>
      <w:tr w:rsidR="005A76AC" w14:paraId="6961313B" w14:textId="77777777" w:rsidTr="001B307B">
        <w:tc>
          <w:tcPr>
            <w:tcW w:w="4140" w:type="dxa"/>
          </w:tcPr>
          <w:p w14:paraId="6911C1E9" w14:textId="77777777" w:rsidR="005A76AC" w:rsidRPr="005A76AC" w:rsidRDefault="005A76AC" w:rsidP="005A76AC">
            <w:pPr>
              <w:jc w:val="center"/>
              <w:rPr>
                <w:rFonts w:ascii="Times New Roman" w:hAnsi="Times New Roman" w:cs="Times New Roman"/>
                <w:b/>
                <w:sz w:val="24"/>
              </w:rPr>
            </w:pPr>
            <w:r w:rsidRPr="005A76AC">
              <w:rPr>
                <w:rFonts w:ascii="Times New Roman" w:hAnsi="Times New Roman" w:cs="Times New Roman"/>
                <w:b/>
                <w:sz w:val="24"/>
              </w:rPr>
              <w:t>Facility</w:t>
            </w:r>
          </w:p>
        </w:tc>
        <w:tc>
          <w:tcPr>
            <w:tcW w:w="1530" w:type="dxa"/>
          </w:tcPr>
          <w:p w14:paraId="6948ECA5" w14:textId="77777777" w:rsidR="005A76AC" w:rsidRPr="005A76AC" w:rsidRDefault="005A76AC" w:rsidP="005A76AC">
            <w:pPr>
              <w:jc w:val="center"/>
              <w:rPr>
                <w:rFonts w:ascii="Times New Roman" w:hAnsi="Times New Roman" w:cs="Times New Roman"/>
                <w:b/>
                <w:sz w:val="24"/>
              </w:rPr>
            </w:pPr>
            <w:r w:rsidRPr="005A76AC">
              <w:rPr>
                <w:rFonts w:ascii="Times New Roman" w:hAnsi="Times New Roman" w:cs="Times New Roman"/>
                <w:b/>
                <w:sz w:val="24"/>
              </w:rPr>
              <w:t>Group 3 Use*</w:t>
            </w:r>
          </w:p>
        </w:tc>
        <w:tc>
          <w:tcPr>
            <w:tcW w:w="4045" w:type="dxa"/>
          </w:tcPr>
          <w:p w14:paraId="2DAB7073" w14:textId="77777777" w:rsidR="005A76AC" w:rsidRPr="005A76AC" w:rsidRDefault="005A76AC" w:rsidP="005A76AC">
            <w:pPr>
              <w:jc w:val="center"/>
              <w:rPr>
                <w:rFonts w:ascii="Times New Roman" w:hAnsi="Times New Roman" w:cs="Times New Roman"/>
                <w:b/>
                <w:sz w:val="24"/>
              </w:rPr>
            </w:pPr>
            <w:r w:rsidRPr="005A76AC">
              <w:rPr>
                <w:rFonts w:ascii="Times New Roman" w:hAnsi="Times New Roman" w:cs="Times New Roman"/>
                <w:b/>
                <w:sz w:val="24"/>
              </w:rPr>
              <w:t>Group 4 Use*</w:t>
            </w:r>
          </w:p>
          <w:p w14:paraId="2505C4F2" w14:textId="77777777" w:rsidR="005A76AC" w:rsidRDefault="005A76AC" w:rsidP="005A76AC">
            <w:pPr>
              <w:jc w:val="center"/>
              <w:rPr>
                <w:rFonts w:ascii="Times New Roman" w:hAnsi="Times New Roman" w:cs="Times New Roman"/>
                <w:sz w:val="24"/>
              </w:rPr>
            </w:pPr>
            <w:r w:rsidRPr="005A76AC">
              <w:rPr>
                <w:rFonts w:ascii="Times New Roman" w:hAnsi="Times New Roman" w:cs="Times New Roman"/>
                <w:sz w:val="20"/>
              </w:rPr>
              <w:t>(Rental Fees Plus)</w:t>
            </w:r>
          </w:p>
        </w:tc>
      </w:tr>
      <w:tr w:rsidR="005A76AC" w14:paraId="449F961F" w14:textId="77777777" w:rsidTr="001B307B">
        <w:tc>
          <w:tcPr>
            <w:tcW w:w="4140" w:type="dxa"/>
          </w:tcPr>
          <w:p w14:paraId="50AAA2E9" w14:textId="13DAAA46" w:rsidR="005A76AC" w:rsidRPr="001B307B" w:rsidRDefault="000437D7" w:rsidP="001C7B07">
            <w:pPr>
              <w:jc w:val="center"/>
              <w:rPr>
                <w:rFonts w:ascii="Times New Roman" w:hAnsi="Times New Roman" w:cs="Times New Roman"/>
              </w:rPr>
            </w:pPr>
            <w:r w:rsidRPr="001B307B">
              <w:rPr>
                <w:rFonts w:ascii="Times New Roman" w:hAnsi="Times New Roman" w:cs="Times New Roman"/>
              </w:rPr>
              <w:t xml:space="preserve">Individual </w:t>
            </w:r>
            <w:r w:rsidR="005A76AC" w:rsidRPr="001B307B">
              <w:rPr>
                <w:rFonts w:ascii="Times New Roman" w:hAnsi="Times New Roman" w:cs="Times New Roman"/>
              </w:rPr>
              <w:t>Weight Room</w:t>
            </w:r>
            <w:r w:rsidR="001C7B07" w:rsidRPr="001B307B">
              <w:rPr>
                <w:rFonts w:ascii="Times New Roman" w:hAnsi="Times New Roman" w:cs="Times New Roman"/>
              </w:rPr>
              <w:t>/Gym</w:t>
            </w:r>
            <w:r w:rsidR="001B307B">
              <w:rPr>
                <w:rFonts w:ascii="Times New Roman" w:hAnsi="Times New Roman" w:cs="Times New Roman"/>
              </w:rPr>
              <w:t xml:space="preserve"> </w:t>
            </w:r>
            <w:r w:rsidR="005A76AC" w:rsidRPr="001B307B">
              <w:rPr>
                <w:rFonts w:ascii="Times New Roman" w:hAnsi="Times New Roman" w:cs="Times New Roman"/>
              </w:rPr>
              <w:t>Access</w:t>
            </w:r>
          </w:p>
        </w:tc>
        <w:tc>
          <w:tcPr>
            <w:tcW w:w="1530" w:type="dxa"/>
          </w:tcPr>
          <w:p w14:paraId="3D38B5DD" w14:textId="45E35C38" w:rsidR="005A76AC" w:rsidRPr="000437D7" w:rsidRDefault="000437D7" w:rsidP="005A76AC">
            <w:pPr>
              <w:jc w:val="center"/>
              <w:rPr>
                <w:rFonts w:ascii="Times New Roman" w:hAnsi="Times New Roman" w:cs="Times New Roman"/>
                <w:strike/>
                <w:sz w:val="25"/>
                <w:szCs w:val="25"/>
              </w:rPr>
            </w:pPr>
            <w:r w:rsidRPr="000437D7">
              <w:rPr>
                <w:rFonts w:ascii="Times New Roman" w:hAnsi="Times New Roman" w:cs="Times New Roman"/>
                <w:sz w:val="25"/>
                <w:szCs w:val="25"/>
              </w:rPr>
              <w:t>$50</w:t>
            </w:r>
          </w:p>
        </w:tc>
        <w:tc>
          <w:tcPr>
            <w:tcW w:w="4045" w:type="dxa"/>
          </w:tcPr>
          <w:p w14:paraId="43A5A45F" w14:textId="47C44E46" w:rsidR="000437D7" w:rsidRPr="005A76AC" w:rsidRDefault="000437D7" w:rsidP="005A76AC">
            <w:pPr>
              <w:jc w:val="center"/>
              <w:rPr>
                <w:rFonts w:ascii="Times New Roman" w:hAnsi="Times New Roman" w:cs="Times New Roman"/>
                <w:sz w:val="25"/>
                <w:szCs w:val="25"/>
              </w:rPr>
            </w:pPr>
            <w:r>
              <w:rPr>
                <w:rFonts w:ascii="Times New Roman" w:hAnsi="Times New Roman" w:cs="Times New Roman"/>
                <w:sz w:val="25"/>
                <w:szCs w:val="25"/>
              </w:rPr>
              <w:t>N/A</w:t>
            </w:r>
          </w:p>
        </w:tc>
      </w:tr>
      <w:tr w:rsidR="005A76AC" w14:paraId="4ED5728C" w14:textId="77777777" w:rsidTr="001B307B">
        <w:tc>
          <w:tcPr>
            <w:tcW w:w="4140" w:type="dxa"/>
          </w:tcPr>
          <w:p w14:paraId="394EF349" w14:textId="77777777" w:rsidR="005A76AC" w:rsidRPr="005A76AC" w:rsidRDefault="005A76AC" w:rsidP="005A76AC">
            <w:pPr>
              <w:jc w:val="center"/>
              <w:rPr>
                <w:rFonts w:ascii="Times New Roman" w:hAnsi="Times New Roman" w:cs="Times New Roman"/>
                <w:sz w:val="25"/>
                <w:szCs w:val="25"/>
              </w:rPr>
            </w:pPr>
            <w:r w:rsidRPr="005A76AC">
              <w:rPr>
                <w:rFonts w:ascii="Times New Roman" w:hAnsi="Times New Roman" w:cs="Times New Roman"/>
                <w:sz w:val="25"/>
                <w:szCs w:val="25"/>
              </w:rPr>
              <w:t>Career Center</w:t>
            </w:r>
          </w:p>
        </w:tc>
        <w:tc>
          <w:tcPr>
            <w:tcW w:w="1530" w:type="dxa"/>
          </w:tcPr>
          <w:p w14:paraId="24D81110" w14:textId="3E55AE87" w:rsidR="005A76AC" w:rsidRPr="000437D7" w:rsidRDefault="000437D7" w:rsidP="005A76AC">
            <w:pPr>
              <w:jc w:val="center"/>
              <w:rPr>
                <w:rFonts w:ascii="Times New Roman" w:hAnsi="Times New Roman" w:cs="Times New Roman"/>
                <w:strike/>
                <w:sz w:val="25"/>
                <w:szCs w:val="25"/>
              </w:rPr>
            </w:pPr>
            <w:r w:rsidRPr="000437D7">
              <w:rPr>
                <w:rFonts w:ascii="Times New Roman" w:hAnsi="Times New Roman" w:cs="Times New Roman"/>
                <w:sz w:val="25"/>
                <w:szCs w:val="25"/>
              </w:rPr>
              <w:t>$50</w:t>
            </w:r>
          </w:p>
        </w:tc>
        <w:tc>
          <w:tcPr>
            <w:tcW w:w="4045" w:type="dxa"/>
          </w:tcPr>
          <w:p w14:paraId="1013489D" w14:textId="09E399E4" w:rsidR="000437D7" w:rsidRPr="005A76AC" w:rsidRDefault="000437D7" w:rsidP="005A76AC">
            <w:pPr>
              <w:jc w:val="center"/>
              <w:rPr>
                <w:rFonts w:ascii="Times New Roman" w:hAnsi="Times New Roman" w:cs="Times New Roman"/>
                <w:sz w:val="25"/>
                <w:szCs w:val="25"/>
              </w:rPr>
            </w:pPr>
            <w:r w:rsidRPr="005A76AC">
              <w:rPr>
                <w:rFonts w:ascii="Times New Roman" w:hAnsi="Times New Roman" w:cs="Times New Roman"/>
                <w:sz w:val="25"/>
                <w:szCs w:val="25"/>
              </w:rPr>
              <w:t>10% of gross</w:t>
            </w:r>
            <w:r>
              <w:rPr>
                <w:rFonts w:ascii="Times New Roman" w:hAnsi="Times New Roman" w:cs="Times New Roman"/>
                <w:sz w:val="25"/>
                <w:szCs w:val="25"/>
              </w:rPr>
              <w:t>/$100 minimum</w:t>
            </w:r>
          </w:p>
        </w:tc>
      </w:tr>
      <w:tr w:rsidR="005A76AC" w14:paraId="390CCB28" w14:textId="77777777" w:rsidTr="001B307B">
        <w:tc>
          <w:tcPr>
            <w:tcW w:w="4140" w:type="dxa"/>
          </w:tcPr>
          <w:p w14:paraId="02B32156" w14:textId="3FE20079" w:rsidR="005A76AC" w:rsidRPr="001B307B" w:rsidRDefault="005A76AC" w:rsidP="001B307B">
            <w:pPr>
              <w:jc w:val="center"/>
              <w:rPr>
                <w:rFonts w:ascii="Times New Roman" w:hAnsi="Times New Roman" w:cs="Times New Roman"/>
              </w:rPr>
            </w:pPr>
            <w:r w:rsidRPr="001B307B">
              <w:rPr>
                <w:rFonts w:ascii="Times New Roman" w:hAnsi="Times New Roman" w:cs="Times New Roman"/>
              </w:rPr>
              <w:t>Multi-Purpose w/o</w:t>
            </w:r>
            <w:r w:rsidR="001B307B">
              <w:rPr>
                <w:rFonts w:ascii="Times New Roman" w:hAnsi="Times New Roman" w:cs="Times New Roman"/>
              </w:rPr>
              <w:t xml:space="preserve"> </w:t>
            </w:r>
            <w:r w:rsidRPr="001B307B">
              <w:rPr>
                <w:rFonts w:ascii="Times New Roman" w:hAnsi="Times New Roman" w:cs="Times New Roman"/>
              </w:rPr>
              <w:t>Kitchen Use</w:t>
            </w:r>
          </w:p>
        </w:tc>
        <w:tc>
          <w:tcPr>
            <w:tcW w:w="1530" w:type="dxa"/>
          </w:tcPr>
          <w:p w14:paraId="2D128BA1" w14:textId="7815573E" w:rsidR="005A76AC" w:rsidRPr="005A76AC" w:rsidRDefault="000437D7" w:rsidP="005A76AC">
            <w:pPr>
              <w:jc w:val="center"/>
              <w:rPr>
                <w:rFonts w:ascii="Times New Roman" w:hAnsi="Times New Roman" w:cs="Times New Roman"/>
                <w:sz w:val="25"/>
                <w:szCs w:val="25"/>
              </w:rPr>
            </w:pPr>
            <w:r>
              <w:rPr>
                <w:rFonts w:ascii="Times New Roman" w:hAnsi="Times New Roman" w:cs="Times New Roman"/>
                <w:sz w:val="25"/>
                <w:szCs w:val="25"/>
              </w:rPr>
              <w:t>$50</w:t>
            </w:r>
          </w:p>
        </w:tc>
        <w:tc>
          <w:tcPr>
            <w:tcW w:w="4045" w:type="dxa"/>
          </w:tcPr>
          <w:p w14:paraId="3B83597C" w14:textId="161999A4" w:rsidR="000437D7" w:rsidRPr="005A76AC" w:rsidRDefault="000437D7" w:rsidP="005A76AC">
            <w:pPr>
              <w:jc w:val="center"/>
              <w:rPr>
                <w:rFonts w:ascii="Times New Roman" w:hAnsi="Times New Roman" w:cs="Times New Roman"/>
                <w:sz w:val="25"/>
                <w:szCs w:val="25"/>
              </w:rPr>
            </w:pPr>
            <w:r w:rsidRPr="005A76AC">
              <w:rPr>
                <w:rFonts w:ascii="Times New Roman" w:hAnsi="Times New Roman" w:cs="Times New Roman"/>
                <w:sz w:val="25"/>
                <w:szCs w:val="25"/>
              </w:rPr>
              <w:t>10% of gross</w:t>
            </w:r>
            <w:r>
              <w:rPr>
                <w:rFonts w:ascii="Times New Roman" w:hAnsi="Times New Roman" w:cs="Times New Roman"/>
                <w:sz w:val="25"/>
                <w:szCs w:val="25"/>
              </w:rPr>
              <w:t>/$150 minimum</w:t>
            </w:r>
          </w:p>
        </w:tc>
      </w:tr>
      <w:tr w:rsidR="005A76AC" w14:paraId="44143BF4" w14:textId="77777777" w:rsidTr="001B307B">
        <w:tc>
          <w:tcPr>
            <w:tcW w:w="4140" w:type="dxa"/>
          </w:tcPr>
          <w:p w14:paraId="6B84107F" w14:textId="0DC7F953" w:rsidR="005A76AC" w:rsidRPr="001B307B" w:rsidRDefault="005A76AC" w:rsidP="001B307B">
            <w:pPr>
              <w:jc w:val="center"/>
              <w:rPr>
                <w:rFonts w:ascii="Times New Roman" w:hAnsi="Times New Roman" w:cs="Times New Roman"/>
              </w:rPr>
            </w:pPr>
            <w:r w:rsidRPr="001B307B">
              <w:rPr>
                <w:rFonts w:ascii="Times New Roman" w:hAnsi="Times New Roman" w:cs="Times New Roman"/>
              </w:rPr>
              <w:t>Multi-Purpose with</w:t>
            </w:r>
            <w:r w:rsidR="001B307B">
              <w:rPr>
                <w:rFonts w:ascii="Times New Roman" w:hAnsi="Times New Roman" w:cs="Times New Roman"/>
              </w:rPr>
              <w:t xml:space="preserve"> </w:t>
            </w:r>
            <w:r w:rsidRPr="001B307B">
              <w:rPr>
                <w:rFonts w:ascii="Times New Roman" w:hAnsi="Times New Roman" w:cs="Times New Roman"/>
              </w:rPr>
              <w:t>Kitchen Use</w:t>
            </w:r>
          </w:p>
        </w:tc>
        <w:tc>
          <w:tcPr>
            <w:tcW w:w="1530" w:type="dxa"/>
          </w:tcPr>
          <w:p w14:paraId="4479CAB4" w14:textId="65C0DC6F" w:rsidR="005A76AC" w:rsidRPr="005A76AC" w:rsidRDefault="000437D7" w:rsidP="005A76AC">
            <w:pPr>
              <w:jc w:val="center"/>
              <w:rPr>
                <w:rFonts w:ascii="Times New Roman" w:hAnsi="Times New Roman" w:cs="Times New Roman"/>
                <w:sz w:val="25"/>
                <w:szCs w:val="25"/>
              </w:rPr>
            </w:pPr>
            <w:r>
              <w:rPr>
                <w:rFonts w:ascii="Times New Roman" w:hAnsi="Times New Roman" w:cs="Times New Roman"/>
                <w:sz w:val="25"/>
                <w:szCs w:val="25"/>
              </w:rPr>
              <w:t>$100</w:t>
            </w:r>
          </w:p>
        </w:tc>
        <w:tc>
          <w:tcPr>
            <w:tcW w:w="4045" w:type="dxa"/>
          </w:tcPr>
          <w:p w14:paraId="0F622AE5" w14:textId="53863FBD" w:rsidR="000437D7" w:rsidRPr="005A76AC" w:rsidRDefault="000437D7" w:rsidP="005A76AC">
            <w:pPr>
              <w:jc w:val="center"/>
              <w:rPr>
                <w:rFonts w:ascii="Times New Roman" w:hAnsi="Times New Roman" w:cs="Times New Roman"/>
                <w:sz w:val="25"/>
                <w:szCs w:val="25"/>
              </w:rPr>
            </w:pPr>
            <w:r w:rsidRPr="005A76AC">
              <w:rPr>
                <w:rFonts w:ascii="Times New Roman" w:hAnsi="Times New Roman" w:cs="Times New Roman"/>
                <w:sz w:val="25"/>
                <w:szCs w:val="25"/>
              </w:rPr>
              <w:t>10% of gross</w:t>
            </w:r>
            <w:r>
              <w:rPr>
                <w:rFonts w:ascii="Times New Roman" w:hAnsi="Times New Roman" w:cs="Times New Roman"/>
                <w:sz w:val="25"/>
                <w:szCs w:val="25"/>
              </w:rPr>
              <w:t>/$300 minimum</w:t>
            </w:r>
          </w:p>
        </w:tc>
      </w:tr>
      <w:tr w:rsidR="005A76AC" w14:paraId="5C587F89" w14:textId="77777777" w:rsidTr="001B307B">
        <w:tc>
          <w:tcPr>
            <w:tcW w:w="4140" w:type="dxa"/>
          </w:tcPr>
          <w:p w14:paraId="574CD249" w14:textId="77777777" w:rsidR="005A76AC" w:rsidRPr="005A76AC" w:rsidRDefault="005A76AC" w:rsidP="005A76AC">
            <w:pPr>
              <w:jc w:val="center"/>
              <w:rPr>
                <w:rFonts w:ascii="Times New Roman" w:hAnsi="Times New Roman" w:cs="Times New Roman"/>
                <w:sz w:val="25"/>
                <w:szCs w:val="25"/>
              </w:rPr>
            </w:pPr>
            <w:r w:rsidRPr="005A76AC">
              <w:rPr>
                <w:rFonts w:ascii="Times New Roman" w:hAnsi="Times New Roman" w:cs="Times New Roman"/>
                <w:sz w:val="25"/>
                <w:szCs w:val="25"/>
              </w:rPr>
              <w:t>Main Gymnasium</w:t>
            </w:r>
          </w:p>
        </w:tc>
        <w:tc>
          <w:tcPr>
            <w:tcW w:w="1530" w:type="dxa"/>
          </w:tcPr>
          <w:p w14:paraId="392C21C5" w14:textId="32D5725B" w:rsidR="005A76AC" w:rsidRPr="000437D7" w:rsidRDefault="000437D7" w:rsidP="005A76AC">
            <w:pPr>
              <w:jc w:val="center"/>
              <w:rPr>
                <w:rFonts w:ascii="Times New Roman" w:hAnsi="Times New Roman" w:cs="Times New Roman"/>
                <w:strike/>
                <w:sz w:val="25"/>
                <w:szCs w:val="25"/>
              </w:rPr>
            </w:pPr>
            <w:r w:rsidRPr="000437D7">
              <w:rPr>
                <w:rFonts w:ascii="Times New Roman" w:hAnsi="Times New Roman" w:cs="Times New Roman"/>
                <w:sz w:val="25"/>
                <w:szCs w:val="25"/>
              </w:rPr>
              <w:t>$50</w:t>
            </w:r>
          </w:p>
        </w:tc>
        <w:tc>
          <w:tcPr>
            <w:tcW w:w="4045" w:type="dxa"/>
          </w:tcPr>
          <w:p w14:paraId="6D1867F1" w14:textId="40F778AB" w:rsidR="000437D7" w:rsidRPr="005A76AC" w:rsidRDefault="000437D7" w:rsidP="005A76AC">
            <w:pPr>
              <w:jc w:val="center"/>
              <w:rPr>
                <w:rFonts w:ascii="Times New Roman" w:hAnsi="Times New Roman" w:cs="Times New Roman"/>
                <w:sz w:val="25"/>
                <w:szCs w:val="25"/>
              </w:rPr>
            </w:pPr>
            <w:r w:rsidRPr="005A76AC">
              <w:rPr>
                <w:rFonts w:ascii="Times New Roman" w:hAnsi="Times New Roman" w:cs="Times New Roman"/>
                <w:sz w:val="25"/>
                <w:szCs w:val="25"/>
              </w:rPr>
              <w:t>10% of gross</w:t>
            </w:r>
            <w:r>
              <w:rPr>
                <w:rFonts w:ascii="Times New Roman" w:hAnsi="Times New Roman" w:cs="Times New Roman"/>
                <w:sz w:val="25"/>
                <w:szCs w:val="25"/>
              </w:rPr>
              <w:t>/$200 minimum</w:t>
            </w:r>
          </w:p>
        </w:tc>
      </w:tr>
      <w:tr w:rsidR="005A76AC" w14:paraId="04FA20E2" w14:textId="77777777" w:rsidTr="001B307B">
        <w:tc>
          <w:tcPr>
            <w:tcW w:w="4140" w:type="dxa"/>
          </w:tcPr>
          <w:p w14:paraId="4A2195B1" w14:textId="77777777" w:rsidR="005A76AC" w:rsidRPr="005A76AC" w:rsidRDefault="005A76AC" w:rsidP="005A76AC">
            <w:pPr>
              <w:jc w:val="center"/>
              <w:rPr>
                <w:rFonts w:ascii="Times New Roman" w:hAnsi="Times New Roman" w:cs="Times New Roman"/>
                <w:sz w:val="25"/>
                <w:szCs w:val="25"/>
              </w:rPr>
            </w:pPr>
            <w:r w:rsidRPr="005A76AC">
              <w:rPr>
                <w:rFonts w:ascii="Times New Roman" w:hAnsi="Times New Roman" w:cs="Times New Roman"/>
                <w:sz w:val="25"/>
                <w:szCs w:val="25"/>
              </w:rPr>
              <w:t>Classroom</w:t>
            </w:r>
          </w:p>
        </w:tc>
        <w:tc>
          <w:tcPr>
            <w:tcW w:w="1530" w:type="dxa"/>
          </w:tcPr>
          <w:p w14:paraId="057888DC" w14:textId="2977D328" w:rsidR="005A76AC" w:rsidRPr="005A76AC" w:rsidRDefault="000437D7" w:rsidP="005A76AC">
            <w:pPr>
              <w:jc w:val="center"/>
              <w:rPr>
                <w:rFonts w:ascii="Times New Roman" w:hAnsi="Times New Roman" w:cs="Times New Roman"/>
                <w:sz w:val="25"/>
                <w:szCs w:val="25"/>
              </w:rPr>
            </w:pPr>
            <w:r>
              <w:rPr>
                <w:rFonts w:ascii="Times New Roman" w:hAnsi="Times New Roman" w:cs="Times New Roman"/>
                <w:sz w:val="25"/>
                <w:szCs w:val="25"/>
              </w:rPr>
              <w:t>$25</w:t>
            </w:r>
          </w:p>
        </w:tc>
        <w:tc>
          <w:tcPr>
            <w:tcW w:w="4045" w:type="dxa"/>
          </w:tcPr>
          <w:p w14:paraId="7C27266D" w14:textId="2DF18A91" w:rsidR="000437D7" w:rsidRPr="005A76AC" w:rsidRDefault="000437D7" w:rsidP="005A76AC">
            <w:pPr>
              <w:jc w:val="center"/>
              <w:rPr>
                <w:rFonts w:ascii="Times New Roman" w:hAnsi="Times New Roman" w:cs="Times New Roman"/>
                <w:sz w:val="25"/>
                <w:szCs w:val="25"/>
              </w:rPr>
            </w:pPr>
            <w:r w:rsidRPr="005A76AC">
              <w:rPr>
                <w:rFonts w:ascii="Times New Roman" w:hAnsi="Times New Roman" w:cs="Times New Roman"/>
                <w:sz w:val="25"/>
                <w:szCs w:val="25"/>
              </w:rPr>
              <w:t>10% of gross</w:t>
            </w:r>
            <w:r>
              <w:rPr>
                <w:rFonts w:ascii="Times New Roman" w:hAnsi="Times New Roman" w:cs="Times New Roman"/>
                <w:sz w:val="25"/>
                <w:szCs w:val="25"/>
              </w:rPr>
              <w:t>/</w:t>
            </w:r>
            <w:r w:rsidR="0090634F">
              <w:rPr>
                <w:rFonts w:ascii="Times New Roman" w:hAnsi="Times New Roman" w:cs="Times New Roman"/>
                <w:sz w:val="25"/>
                <w:szCs w:val="25"/>
              </w:rPr>
              <w:t>$50 minimum</w:t>
            </w:r>
          </w:p>
        </w:tc>
      </w:tr>
      <w:tr w:rsidR="005A76AC" w14:paraId="6A9234AB" w14:textId="77777777" w:rsidTr="001B307B">
        <w:tc>
          <w:tcPr>
            <w:tcW w:w="4140" w:type="dxa"/>
          </w:tcPr>
          <w:p w14:paraId="0ACC2631" w14:textId="77777777" w:rsidR="005A76AC" w:rsidRPr="005A76AC" w:rsidRDefault="005A76AC" w:rsidP="005A76AC">
            <w:pPr>
              <w:jc w:val="center"/>
              <w:rPr>
                <w:rFonts w:ascii="Times New Roman" w:hAnsi="Times New Roman" w:cs="Times New Roman"/>
                <w:sz w:val="25"/>
                <w:szCs w:val="25"/>
              </w:rPr>
            </w:pPr>
            <w:r w:rsidRPr="005A76AC">
              <w:rPr>
                <w:rFonts w:ascii="Times New Roman" w:hAnsi="Times New Roman" w:cs="Times New Roman"/>
                <w:sz w:val="25"/>
                <w:szCs w:val="25"/>
              </w:rPr>
              <w:t>Sport Field</w:t>
            </w:r>
          </w:p>
        </w:tc>
        <w:tc>
          <w:tcPr>
            <w:tcW w:w="1530" w:type="dxa"/>
          </w:tcPr>
          <w:p w14:paraId="54E1E018" w14:textId="74EC60A6" w:rsidR="005A76AC" w:rsidRPr="005A76AC" w:rsidRDefault="000437D7" w:rsidP="005A76AC">
            <w:pPr>
              <w:jc w:val="center"/>
              <w:rPr>
                <w:rFonts w:ascii="Times New Roman" w:hAnsi="Times New Roman" w:cs="Times New Roman"/>
                <w:sz w:val="25"/>
                <w:szCs w:val="25"/>
              </w:rPr>
            </w:pPr>
            <w:r>
              <w:rPr>
                <w:rFonts w:ascii="Times New Roman" w:hAnsi="Times New Roman" w:cs="Times New Roman"/>
                <w:sz w:val="25"/>
                <w:szCs w:val="25"/>
              </w:rPr>
              <w:t>$25</w:t>
            </w:r>
          </w:p>
        </w:tc>
        <w:tc>
          <w:tcPr>
            <w:tcW w:w="4045" w:type="dxa"/>
          </w:tcPr>
          <w:p w14:paraId="785EDEB1" w14:textId="68617A63" w:rsidR="000437D7" w:rsidRPr="005A76AC" w:rsidRDefault="000437D7" w:rsidP="005A76AC">
            <w:pPr>
              <w:jc w:val="center"/>
              <w:rPr>
                <w:rFonts w:ascii="Times New Roman" w:hAnsi="Times New Roman" w:cs="Times New Roman"/>
                <w:sz w:val="25"/>
                <w:szCs w:val="25"/>
              </w:rPr>
            </w:pPr>
            <w:r w:rsidRPr="005A76AC">
              <w:rPr>
                <w:rFonts w:ascii="Times New Roman" w:hAnsi="Times New Roman" w:cs="Times New Roman"/>
                <w:sz w:val="25"/>
                <w:szCs w:val="25"/>
              </w:rPr>
              <w:t>10% of gross</w:t>
            </w:r>
            <w:r>
              <w:rPr>
                <w:rFonts w:ascii="Times New Roman" w:hAnsi="Times New Roman" w:cs="Times New Roman"/>
                <w:sz w:val="25"/>
                <w:szCs w:val="25"/>
              </w:rPr>
              <w:t>/$100 minimum</w:t>
            </w:r>
          </w:p>
        </w:tc>
      </w:tr>
      <w:tr w:rsidR="005A76AC" w14:paraId="2CAE3E3C" w14:textId="77777777" w:rsidTr="001B307B">
        <w:tc>
          <w:tcPr>
            <w:tcW w:w="4140" w:type="dxa"/>
          </w:tcPr>
          <w:p w14:paraId="05FB7471" w14:textId="77777777" w:rsidR="005A76AC" w:rsidRPr="005A76AC" w:rsidRDefault="005A76AC" w:rsidP="005A76AC">
            <w:pPr>
              <w:jc w:val="center"/>
              <w:rPr>
                <w:rFonts w:ascii="Times New Roman" w:hAnsi="Times New Roman" w:cs="Times New Roman"/>
                <w:sz w:val="25"/>
                <w:szCs w:val="25"/>
              </w:rPr>
            </w:pPr>
            <w:r w:rsidRPr="005A76AC">
              <w:rPr>
                <w:rFonts w:ascii="Times New Roman" w:hAnsi="Times New Roman" w:cs="Times New Roman"/>
                <w:sz w:val="25"/>
                <w:szCs w:val="25"/>
              </w:rPr>
              <w:t>Commons Area</w:t>
            </w:r>
          </w:p>
        </w:tc>
        <w:tc>
          <w:tcPr>
            <w:tcW w:w="1530" w:type="dxa"/>
          </w:tcPr>
          <w:p w14:paraId="1AAED13E" w14:textId="2B44A635" w:rsidR="005A76AC" w:rsidRPr="005A76AC" w:rsidRDefault="000437D7" w:rsidP="005A76AC">
            <w:pPr>
              <w:jc w:val="center"/>
              <w:rPr>
                <w:rFonts w:ascii="Times New Roman" w:hAnsi="Times New Roman" w:cs="Times New Roman"/>
                <w:sz w:val="25"/>
                <w:szCs w:val="25"/>
              </w:rPr>
            </w:pPr>
            <w:r>
              <w:rPr>
                <w:rFonts w:ascii="Times New Roman" w:hAnsi="Times New Roman" w:cs="Times New Roman"/>
                <w:sz w:val="25"/>
                <w:szCs w:val="25"/>
              </w:rPr>
              <w:t>$25</w:t>
            </w:r>
          </w:p>
        </w:tc>
        <w:tc>
          <w:tcPr>
            <w:tcW w:w="4045" w:type="dxa"/>
          </w:tcPr>
          <w:p w14:paraId="3F9E0839" w14:textId="2A486C53" w:rsidR="0090634F" w:rsidRPr="005A76AC" w:rsidRDefault="0090634F" w:rsidP="005A76AC">
            <w:pPr>
              <w:jc w:val="center"/>
              <w:rPr>
                <w:rFonts w:ascii="Times New Roman" w:hAnsi="Times New Roman" w:cs="Times New Roman"/>
                <w:sz w:val="25"/>
                <w:szCs w:val="25"/>
              </w:rPr>
            </w:pPr>
            <w:r w:rsidRPr="005A76AC">
              <w:rPr>
                <w:rFonts w:ascii="Times New Roman" w:hAnsi="Times New Roman" w:cs="Times New Roman"/>
                <w:sz w:val="25"/>
                <w:szCs w:val="25"/>
              </w:rPr>
              <w:t>10% of gross</w:t>
            </w:r>
            <w:r>
              <w:rPr>
                <w:rFonts w:ascii="Times New Roman" w:hAnsi="Times New Roman" w:cs="Times New Roman"/>
                <w:sz w:val="25"/>
                <w:szCs w:val="25"/>
              </w:rPr>
              <w:t>/$100 minimum</w:t>
            </w:r>
          </w:p>
        </w:tc>
      </w:tr>
      <w:tr w:rsidR="005A76AC" w14:paraId="40EC7184" w14:textId="77777777" w:rsidTr="001B307B">
        <w:tc>
          <w:tcPr>
            <w:tcW w:w="4140" w:type="dxa"/>
          </w:tcPr>
          <w:p w14:paraId="3396613C" w14:textId="77777777" w:rsidR="005A76AC" w:rsidRPr="005A76AC" w:rsidRDefault="005A76AC" w:rsidP="005A76AC">
            <w:pPr>
              <w:jc w:val="center"/>
              <w:rPr>
                <w:rFonts w:ascii="Times New Roman" w:hAnsi="Times New Roman" w:cs="Times New Roman"/>
                <w:sz w:val="25"/>
                <w:szCs w:val="25"/>
              </w:rPr>
            </w:pPr>
            <w:r w:rsidRPr="005A76AC">
              <w:rPr>
                <w:rFonts w:ascii="Times New Roman" w:hAnsi="Times New Roman" w:cs="Times New Roman"/>
                <w:sz w:val="25"/>
                <w:szCs w:val="25"/>
              </w:rPr>
              <w:t>Kitchen</w:t>
            </w:r>
          </w:p>
        </w:tc>
        <w:tc>
          <w:tcPr>
            <w:tcW w:w="1530" w:type="dxa"/>
          </w:tcPr>
          <w:p w14:paraId="2B1D01AE" w14:textId="03A91A4C" w:rsidR="005A76AC" w:rsidRPr="005A76AC" w:rsidRDefault="000437D7" w:rsidP="005A76AC">
            <w:pPr>
              <w:jc w:val="center"/>
              <w:rPr>
                <w:rFonts w:ascii="Times New Roman" w:hAnsi="Times New Roman" w:cs="Times New Roman"/>
                <w:sz w:val="25"/>
                <w:szCs w:val="25"/>
              </w:rPr>
            </w:pPr>
            <w:r>
              <w:rPr>
                <w:rFonts w:ascii="Times New Roman" w:hAnsi="Times New Roman" w:cs="Times New Roman"/>
                <w:sz w:val="25"/>
                <w:szCs w:val="25"/>
              </w:rPr>
              <w:t>$50</w:t>
            </w:r>
          </w:p>
        </w:tc>
        <w:tc>
          <w:tcPr>
            <w:tcW w:w="4045" w:type="dxa"/>
          </w:tcPr>
          <w:p w14:paraId="12D6439C" w14:textId="69277EA7" w:rsidR="000437D7" w:rsidRPr="005A76AC" w:rsidRDefault="000437D7" w:rsidP="005A76AC">
            <w:pPr>
              <w:jc w:val="center"/>
              <w:rPr>
                <w:rFonts w:ascii="Times New Roman" w:hAnsi="Times New Roman" w:cs="Times New Roman"/>
                <w:sz w:val="25"/>
                <w:szCs w:val="25"/>
              </w:rPr>
            </w:pPr>
            <w:r w:rsidRPr="005A76AC">
              <w:rPr>
                <w:rFonts w:ascii="Times New Roman" w:hAnsi="Times New Roman" w:cs="Times New Roman"/>
                <w:sz w:val="25"/>
                <w:szCs w:val="25"/>
              </w:rPr>
              <w:t>10% of gross</w:t>
            </w:r>
            <w:r>
              <w:rPr>
                <w:rFonts w:ascii="Times New Roman" w:hAnsi="Times New Roman" w:cs="Times New Roman"/>
                <w:sz w:val="25"/>
                <w:szCs w:val="25"/>
              </w:rPr>
              <w:t>/$150 minimum</w:t>
            </w:r>
          </w:p>
        </w:tc>
      </w:tr>
    </w:tbl>
    <w:p w14:paraId="49CBB77C" w14:textId="77777777" w:rsidR="00EB61C6" w:rsidRPr="00463220" w:rsidRDefault="00EB61C6" w:rsidP="00EB61C6">
      <w:pPr>
        <w:spacing w:line="192" w:lineRule="auto"/>
        <w:jc w:val="center"/>
        <w:rPr>
          <w:rFonts w:ascii="Times New Roman" w:hAnsi="Times New Roman" w:cs="Times New Roman"/>
          <w:b/>
          <w:sz w:val="24"/>
        </w:rPr>
      </w:pPr>
    </w:p>
    <w:p w14:paraId="274AE46B" w14:textId="77777777" w:rsidR="005A76AC" w:rsidRPr="00463220" w:rsidRDefault="005A76AC" w:rsidP="005A76AC">
      <w:pPr>
        <w:spacing w:line="240" w:lineRule="auto"/>
        <w:jc w:val="center"/>
        <w:rPr>
          <w:rFonts w:ascii="Times New Roman" w:hAnsi="Times New Roman" w:cs="Times New Roman"/>
          <w:b/>
          <w:i/>
          <w:sz w:val="28"/>
        </w:rPr>
      </w:pPr>
      <w:r w:rsidRPr="00463220">
        <w:rPr>
          <w:rFonts w:ascii="Times New Roman" w:hAnsi="Times New Roman" w:cs="Times New Roman"/>
          <w:b/>
          <w:i/>
          <w:sz w:val="28"/>
        </w:rPr>
        <w:lastRenderedPageBreak/>
        <w:t>Facility Use Classification Schedule</w:t>
      </w:r>
    </w:p>
    <w:p w14:paraId="7F29A493" w14:textId="77777777" w:rsidR="00B87AF7" w:rsidRPr="00600505" w:rsidRDefault="005A76AC" w:rsidP="005A76AC">
      <w:pPr>
        <w:spacing w:line="240" w:lineRule="auto"/>
        <w:jc w:val="both"/>
        <w:rPr>
          <w:rFonts w:ascii="Times New Roman" w:hAnsi="Times New Roman" w:cs="Times New Roman"/>
          <w:sz w:val="24"/>
          <w:szCs w:val="25"/>
        </w:rPr>
      </w:pPr>
      <w:r w:rsidRPr="00600505">
        <w:rPr>
          <w:rFonts w:ascii="Times New Roman" w:hAnsi="Times New Roman" w:cs="Times New Roman"/>
          <w:sz w:val="24"/>
          <w:szCs w:val="25"/>
        </w:rPr>
        <w:t>Community groups within the Waterville School District</w:t>
      </w:r>
      <w:r w:rsidR="00645A32" w:rsidRPr="00600505">
        <w:rPr>
          <w:rFonts w:ascii="Times New Roman" w:hAnsi="Times New Roman" w:cs="Times New Roman"/>
          <w:sz w:val="24"/>
          <w:szCs w:val="25"/>
        </w:rPr>
        <w:t xml:space="preserve"> shall be permitted to use all facilities for worthwhile purposes when such users will not interfere with the school program. In order to carry out this service to the best interest of the whole community, organizations seeking use of the Waterville School District Facilities have been divided in to categories as follows:</w:t>
      </w:r>
    </w:p>
    <w:tbl>
      <w:tblPr>
        <w:tblStyle w:val="TableGrid"/>
        <w:tblW w:w="0" w:type="auto"/>
        <w:tblLook w:val="04A0" w:firstRow="1" w:lastRow="0" w:firstColumn="1" w:lastColumn="0" w:noHBand="0" w:noVBand="1"/>
      </w:tblPr>
      <w:tblGrid>
        <w:gridCol w:w="1345"/>
        <w:gridCol w:w="8005"/>
      </w:tblGrid>
      <w:tr w:rsidR="00645A32" w14:paraId="6A9A2C28" w14:textId="77777777" w:rsidTr="00645A32">
        <w:tc>
          <w:tcPr>
            <w:tcW w:w="1345" w:type="dxa"/>
          </w:tcPr>
          <w:p w14:paraId="7B9B9515" w14:textId="77777777" w:rsidR="00645A32" w:rsidRPr="00A845CF" w:rsidRDefault="00645A32" w:rsidP="005A76AC">
            <w:pPr>
              <w:jc w:val="both"/>
              <w:rPr>
                <w:rFonts w:ascii="Times New Roman" w:hAnsi="Times New Roman" w:cs="Times New Roman"/>
                <w:b/>
                <w:sz w:val="24"/>
                <w:szCs w:val="25"/>
              </w:rPr>
            </w:pPr>
            <w:r w:rsidRPr="00A845CF">
              <w:rPr>
                <w:rFonts w:ascii="Times New Roman" w:hAnsi="Times New Roman" w:cs="Times New Roman"/>
                <w:b/>
                <w:sz w:val="24"/>
                <w:szCs w:val="25"/>
              </w:rPr>
              <w:t>Group 1</w:t>
            </w:r>
          </w:p>
        </w:tc>
        <w:tc>
          <w:tcPr>
            <w:tcW w:w="8005" w:type="dxa"/>
          </w:tcPr>
          <w:p w14:paraId="1AB3463C" w14:textId="77777777" w:rsidR="00645A32" w:rsidRPr="00A845CF" w:rsidRDefault="00645A32" w:rsidP="005A76AC">
            <w:pPr>
              <w:jc w:val="both"/>
              <w:rPr>
                <w:rFonts w:ascii="Times New Roman" w:hAnsi="Times New Roman" w:cs="Times New Roman"/>
                <w:b/>
                <w:sz w:val="24"/>
                <w:szCs w:val="25"/>
              </w:rPr>
            </w:pPr>
            <w:r w:rsidRPr="00A845CF">
              <w:rPr>
                <w:rFonts w:ascii="Times New Roman" w:hAnsi="Times New Roman" w:cs="Times New Roman"/>
                <w:b/>
                <w:sz w:val="24"/>
                <w:szCs w:val="25"/>
              </w:rPr>
              <w:t>Allied School Groups</w:t>
            </w:r>
          </w:p>
        </w:tc>
      </w:tr>
      <w:tr w:rsidR="00645A32" w14:paraId="3A8DB450" w14:textId="77777777" w:rsidTr="00645A32">
        <w:tc>
          <w:tcPr>
            <w:tcW w:w="1345" w:type="dxa"/>
          </w:tcPr>
          <w:p w14:paraId="379CFBDC" w14:textId="77777777" w:rsidR="00645A32" w:rsidRDefault="00645A32" w:rsidP="005A76AC">
            <w:pPr>
              <w:jc w:val="both"/>
              <w:rPr>
                <w:rFonts w:ascii="Times New Roman" w:hAnsi="Times New Roman" w:cs="Times New Roman"/>
                <w:sz w:val="25"/>
                <w:szCs w:val="25"/>
              </w:rPr>
            </w:pPr>
          </w:p>
        </w:tc>
        <w:tc>
          <w:tcPr>
            <w:tcW w:w="8005" w:type="dxa"/>
          </w:tcPr>
          <w:p w14:paraId="1C76EE08" w14:textId="77777777" w:rsidR="00645A32" w:rsidRDefault="00645A32" w:rsidP="005A76AC">
            <w:pPr>
              <w:jc w:val="both"/>
              <w:rPr>
                <w:rFonts w:ascii="Times New Roman" w:hAnsi="Times New Roman" w:cs="Times New Roman"/>
                <w:sz w:val="24"/>
                <w:szCs w:val="24"/>
              </w:rPr>
            </w:pPr>
            <w:r w:rsidRPr="00A845CF">
              <w:rPr>
                <w:rFonts w:ascii="Times New Roman" w:hAnsi="Times New Roman" w:cs="Times New Roman"/>
                <w:sz w:val="24"/>
                <w:szCs w:val="24"/>
              </w:rPr>
              <w:t xml:space="preserve">This </w:t>
            </w:r>
            <w:r w:rsidR="00A845CF" w:rsidRPr="00A845CF">
              <w:rPr>
                <w:rFonts w:ascii="Times New Roman" w:hAnsi="Times New Roman" w:cs="Times New Roman"/>
                <w:sz w:val="24"/>
                <w:szCs w:val="24"/>
              </w:rPr>
              <w:t xml:space="preserve">includes Associated Student Body, curricular and </w:t>
            </w:r>
            <w:r w:rsidR="00600505">
              <w:rPr>
                <w:rFonts w:ascii="Times New Roman" w:hAnsi="Times New Roman" w:cs="Times New Roman"/>
                <w:sz w:val="24"/>
                <w:szCs w:val="24"/>
              </w:rPr>
              <w:t xml:space="preserve">extracurricular student groups, local </w:t>
            </w:r>
            <w:r w:rsidR="00A845CF" w:rsidRPr="00A845CF">
              <w:rPr>
                <w:rFonts w:ascii="Times New Roman" w:hAnsi="Times New Roman" w:cs="Times New Roman"/>
                <w:sz w:val="24"/>
                <w:szCs w:val="24"/>
              </w:rPr>
              <w:t xml:space="preserve">non-profit organizations whose main purpose is to support educational programs and activities for students in our district. The group would include parent/teacher organizations, school booster groups and other school related groups. </w:t>
            </w:r>
          </w:p>
          <w:p w14:paraId="19966AD9" w14:textId="77777777" w:rsidR="00A845CF" w:rsidRPr="00A845CF" w:rsidRDefault="00A845CF" w:rsidP="005A76AC">
            <w:pPr>
              <w:jc w:val="both"/>
              <w:rPr>
                <w:rFonts w:ascii="Times New Roman" w:hAnsi="Times New Roman" w:cs="Times New Roman"/>
                <w:sz w:val="24"/>
                <w:szCs w:val="24"/>
              </w:rPr>
            </w:pPr>
          </w:p>
        </w:tc>
      </w:tr>
      <w:tr w:rsidR="00A845CF" w14:paraId="6FC386EB" w14:textId="77777777" w:rsidTr="00645A32">
        <w:tc>
          <w:tcPr>
            <w:tcW w:w="1345" w:type="dxa"/>
          </w:tcPr>
          <w:p w14:paraId="694B44B7" w14:textId="77777777" w:rsidR="00A845CF" w:rsidRPr="00A845CF" w:rsidRDefault="00A845CF" w:rsidP="00A845CF">
            <w:pPr>
              <w:jc w:val="both"/>
              <w:rPr>
                <w:rFonts w:ascii="Times New Roman" w:hAnsi="Times New Roman" w:cs="Times New Roman"/>
                <w:b/>
                <w:sz w:val="24"/>
                <w:szCs w:val="25"/>
              </w:rPr>
            </w:pPr>
            <w:r>
              <w:rPr>
                <w:rFonts w:ascii="Times New Roman" w:hAnsi="Times New Roman" w:cs="Times New Roman"/>
                <w:b/>
                <w:sz w:val="24"/>
                <w:szCs w:val="25"/>
              </w:rPr>
              <w:t>Group 2</w:t>
            </w:r>
          </w:p>
        </w:tc>
        <w:tc>
          <w:tcPr>
            <w:tcW w:w="8005" w:type="dxa"/>
          </w:tcPr>
          <w:p w14:paraId="079810A7" w14:textId="77777777" w:rsidR="00A845CF" w:rsidRPr="00A845CF" w:rsidRDefault="00A845CF" w:rsidP="00A845CF">
            <w:pPr>
              <w:jc w:val="both"/>
              <w:rPr>
                <w:rFonts w:ascii="Times New Roman" w:hAnsi="Times New Roman" w:cs="Times New Roman"/>
                <w:b/>
                <w:sz w:val="24"/>
                <w:szCs w:val="25"/>
              </w:rPr>
            </w:pPr>
            <w:r>
              <w:rPr>
                <w:rFonts w:ascii="Times New Roman" w:hAnsi="Times New Roman" w:cs="Times New Roman"/>
                <w:b/>
                <w:sz w:val="24"/>
                <w:szCs w:val="25"/>
              </w:rPr>
              <w:t>Youth Groups/ Local Adult Non-Profit Groups</w:t>
            </w:r>
          </w:p>
        </w:tc>
      </w:tr>
      <w:tr w:rsidR="00A845CF" w14:paraId="2BEF36EE" w14:textId="77777777" w:rsidTr="00645A32">
        <w:tc>
          <w:tcPr>
            <w:tcW w:w="1345" w:type="dxa"/>
          </w:tcPr>
          <w:p w14:paraId="3B1BE4AD" w14:textId="77777777" w:rsidR="00A845CF" w:rsidRDefault="00A845CF" w:rsidP="00A845CF">
            <w:pPr>
              <w:jc w:val="both"/>
              <w:rPr>
                <w:rFonts w:ascii="Times New Roman" w:hAnsi="Times New Roman" w:cs="Times New Roman"/>
                <w:sz w:val="25"/>
                <w:szCs w:val="25"/>
              </w:rPr>
            </w:pPr>
          </w:p>
        </w:tc>
        <w:tc>
          <w:tcPr>
            <w:tcW w:w="8005" w:type="dxa"/>
          </w:tcPr>
          <w:p w14:paraId="38208BB4" w14:textId="77777777" w:rsidR="00A845CF" w:rsidRDefault="00A845CF" w:rsidP="00A845CF">
            <w:pPr>
              <w:jc w:val="both"/>
              <w:rPr>
                <w:rFonts w:ascii="Times New Roman" w:hAnsi="Times New Roman" w:cs="Times New Roman"/>
                <w:sz w:val="24"/>
                <w:szCs w:val="24"/>
              </w:rPr>
            </w:pPr>
            <w:r>
              <w:rPr>
                <w:rFonts w:ascii="Times New Roman" w:hAnsi="Times New Roman" w:cs="Times New Roman"/>
                <w:sz w:val="24"/>
                <w:szCs w:val="24"/>
              </w:rPr>
              <w:t>These are general, civic and non-profit in nature and their primary reason for existence is the betterment of children, the community, and the state. This group would include service clubs, church-related youth groups, Boy Scouts, Girl Scouts, Campfire Girls, local youth athletic team organizations and local adult non-profit athletic groups. For small groups events held during regular business hours, certain fees may be waived at district discretion. Local government agencies using district facilities during normal business hours are included in the group.</w:t>
            </w:r>
          </w:p>
          <w:p w14:paraId="539C3D79" w14:textId="77777777" w:rsidR="00A845CF" w:rsidRPr="00A845CF" w:rsidRDefault="00A845CF" w:rsidP="00A845CF">
            <w:pPr>
              <w:jc w:val="both"/>
              <w:rPr>
                <w:rFonts w:ascii="Times New Roman" w:hAnsi="Times New Roman" w:cs="Times New Roman"/>
                <w:sz w:val="24"/>
                <w:szCs w:val="24"/>
              </w:rPr>
            </w:pPr>
          </w:p>
        </w:tc>
      </w:tr>
      <w:tr w:rsidR="00600505" w:rsidRPr="00A845CF" w14:paraId="08E024A8" w14:textId="77777777" w:rsidTr="00600505">
        <w:tc>
          <w:tcPr>
            <w:tcW w:w="1345" w:type="dxa"/>
          </w:tcPr>
          <w:p w14:paraId="131B187D" w14:textId="77777777" w:rsidR="00600505" w:rsidRPr="00A845CF" w:rsidRDefault="00600505" w:rsidP="0091791C">
            <w:pPr>
              <w:jc w:val="both"/>
              <w:rPr>
                <w:rFonts w:ascii="Times New Roman" w:hAnsi="Times New Roman" w:cs="Times New Roman"/>
                <w:b/>
                <w:sz w:val="24"/>
                <w:szCs w:val="25"/>
              </w:rPr>
            </w:pPr>
            <w:r>
              <w:rPr>
                <w:rFonts w:ascii="Times New Roman" w:hAnsi="Times New Roman" w:cs="Times New Roman"/>
                <w:b/>
                <w:sz w:val="24"/>
                <w:szCs w:val="25"/>
              </w:rPr>
              <w:t>Group 3</w:t>
            </w:r>
          </w:p>
        </w:tc>
        <w:tc>
          <w:tcPr>
            <w:tcW w:w="8005" w:type="dxa"/>
          </w:tcPr>
          <w:p w14:paraId="11872697" w14:textId="77777777" w:rsidR="00600505" w:rsidRPr="00A845CF" w:rsidRDefault="00600505" w:rsidP="0091791C">
            <w:pPr>
              <w:jc w:val="both"/>
              <w:rPr>
                <w:rFonts w:ascii="Times New Roman" w:hAnsi="Times New Roman" w:cs="Times New Roman"/>
                <w:b/>
                <w:sz w:val="24"/>
                <w:szCs w:val="25"/>
              </w:rPr>
            </w:pPr>
            <w:r>
              <w:rPr>
                <w:rFonts w:ascii="Times New Roman" w:hAnsi="Times New Roman" w:cs="Times New Roman"/>
                <w:b/>
                <w:sz w:val="24"/>
                <w:szCs w:val="25"/>
              </w:rPr>
              <w:t>Non-Commercial</w:t>
            </w:r>
            <w:r w:rsidRPr="00A845CF">
              <w:rPr>
                <w:rFonts w:ascii="Times New Roman" w:hAnsi="Times New Roman" w:cs="Times New Roman"/>
                <w:b/>
                <w:sz w:val="24"/>
                <w:szCs w:val="25"/>
              </w:rPr>
              <w:t xml:space="preserve"> Groups</w:t>
            </w:r>
          </w:p>
        </w:tc>
      </w:tr>
      <w:tr w:rsidR="00600505" w:rsidRPr="00A845CF" w14:paraId="47BA9D88" w14:textId="77777777" w:rsidTr="00600505">
        <w:tc>
          <w:tcPr>
            <w:tcW w:w="1345" w:type="dxa"/>
          </w:tcPr>
          <w:p w14:paraId="19EB048B" w14:textId="77777777" w:rsidR="00600505" w:rsidRDefault="00600505" w:rsidP="0091791C">
            <w:pPr>
              <w:jc w:val="both"/>
              <w:rPr>
                <w:rFonts w:ascii="Times New Roman" w:hAnsi="Times New Roman" w:cs="Times New Roman"/>
                <w:sz w:val="25"/>
                <w:szCs w:val="25"/>
              </w:rPr>
            </w:pPr>
          </w:p>
        </w:tc>
        <w:tc>
          <w:tcPr>
            <w:tcW w:w="8005" w:type="dxa"/>
          </w:tcPr>
          <w:p w14:paraId="681A1538" w14:textId="77777777" w:rsidR="00600505" w:rsidRDefault="00600505" w:rsidP="0091791C">
            <w:pPr>
              <w:jc w:val="both"/>
              <w:rPr>
                <w:rFonts w:ascii="Times New Roman" w:hAnsi="Times New Roman" w:cs="Times New Roman"/>
                <w:sz w:val="24"/>
                <w:szCs w:val="24"/>
              </w:rPr>
            </w:pPr>
            <w:r>
              <w:rPr>
                <w:rFonts w:ascii="Times New Roman" w:hAnsi="Times New Roman" w:cs="Times New Roman"/>
                <w:sz w:val="24"/>
                <w:szCs w:val="24"/>
              </w:rPr>
              <w:t>Groups that have as their primary focus the needs of the youth and adults of the community. Includes adult organizations with a non-profit status; adult activities sponsored by governmental agencies; youth groups that cannot demonstrate a non-profit status; or youth groups which otherwise do not qualify under Class 1 or 2.  Examples: City Parks and Recreation adult programs, community clubs, adult United Way programs, League of Women Voters, chamber of commerce, service clubs, political organizations, social gatherings, class reunions, senior citizen groups, religious organizations, homeowners associations, political groups, labor groups/organizations, and non-local education associations.</w:t>
            </w:r>
          </w:p>
          <w:p w14:paraId="4BAD058C" w14:textId="77777777" w:rsidR="00600505" w:rsidRPr="00A845CF" w:rsidRDefault="00600505" w:rsidP="0091791C">
            <w:pPr>
              <w:jc w:val="both"/>
              <w:rPr>
                <w:rFonts w:ascii="Times New Roman" w:hAnsi="Times New Roman" w:cs="Times New Roman"/>
                <w:sz w:val="24"/>
                <w:szCs w:val="24"/>
              </w:rPr>
            </w:pPr>
          </w:p>
        </w:tc>
      </w:tr>
      <w:tr w:rsidR="00600505" w:rsidRPr="00A845CF" w14:paraId="1D5129FF" w14:textId="77777777" w:rsidTr="00600505">
        <w:tc>
          <w:tcPr>
            <w:tcW w:w="1345" w:type="dxa"/>
          </w:tcPr>
          <w:p w14:paraId="5D3A43CB" w14:textId="77777777" w:rsidR="00600505" w:rsidRPr="00A845CF" w:rsidRDefault="00B87AF7" w:rsidP="0091791C">
            <w:pPr>
              <w:jc w:val="both"/>
              <w:rPr>
                <w:rFonts w:ascii="Times New Roman" w:hAnsi="Times New Roman" w:cs="Times New Roman"/>
                <w:b/>
                <w:sz w:val="24"/>
                <w:szCs w:val="25"/>
              </w:rPr>
            </w:pPr>
            <w:r>
              <w:rPr>
                <w:rFonts w:ascii="Times New Roman" w:hAnsi="Times New Roman" w:cs="Times New Roman"/>
                <w:b/>
                <w:sz w:val="24"/>
                <w:szCs w:val="25"/>
              </w:rPr>
              <w:t>Group 4</w:t>
            </w:r>
          </w:p>
        </w:tc>
        <w:tc>
          <w:tcPr>
            <w:tcW w:w="8005" w:type="dxa"/>
          </w:tcPr>
          <w:p w14:paraId="1F47B756" w14:textId="77777777" w:rsidR="00600505" w:rsidRPr="00A845CF" w:rsidRDefault="00B87AF7" w:rsidP="0091791C">
            <w:pPr>
              <w:jc w:val="both"/>
              <w:rPr>
                <w:rFonts w:ascii="Times New Roman" w:hAnsi="Times New Roman" w:cs="Times New Roman"/>
                <w:b/>
                <w:sz w:val="24"/>
                <w:szCs w:val="25"/>
              </w:rPr>
            </w:pPr>
            <w:r>
              <w:rPr>
                <w:rFonts w:ascii="Times New Roman" w:hAnsi="Times New Roman" w:cs="Times New Roman"/>
                <w:b/>
                <w:sz w:val="24"/>
                <w:szCs w:val="25"/>
              </w:rPr>
              <w:t>Commercial</w:t>
            </w:r>
            <w:r w:rsidR="00600505" w:rsidRPr="00A845CF">
              <w:rPr>
                <w:rFonts w:ascii="Times New Roman" w:hAnsi="Times New Roman" w:cs="Times New Roman"/>
                <w:b/>
                <w:sz w:val="24"/>
                <w:szCs w:val="25"/>
              </w:rPr>
              <w:t xml:space="preserve"> Groups</w:t>
            </w:r>
            <w:r>
              <w:rPr>
                <w:rFonts w:ascii="Times New Roman" w:hAnsi="Times New Roman" w:cs="Times New Roman"/>
                <w:b/>
                <w:sz w:val="24"/>
                <w:szCs w:val="25"/>
              </w:rPr>
              <w:t xml:space="preserve"> and Other Functions</w:t>
            </w:r>
          </w:p>
        </w:tc>
      </w:tr>
      <w:tr w:rsidR="00600505" w:rsidRPr="00A845CF" w14:paraId="64356178" w14:textId="77777777" w:rsidTr="00600505">
        <w:tc>
          <w:tcPr>
            <w:tcW w:w="1345" w:type="dxa"/>
          </w:tcPr>
          <w:p w14:paraId="4DC4E79D" w14:textId="77777777" w:rsidR="00600505" w:rsidRDefault="00600505" w:rsidP="0091791C">
            <w:pPr>
              <w:jc w:val="both"/>
              <w:rPr>
                <w:rFonts w:ascii="Times New Roman" w:hAnsi="Times New Roman" w:cs="Times New Roman"/>
                <w:sz w:val="25"/>
                <w:szCs w:val="25"/>
              </w:rPr>
            </w:pPr>
          </w:p>
        </w:tc>
        <w:tc>
          <w:tcPr>
            <w:tcW w:w="8005" w:type="dxa"/>
          </w:tcPr>
          <w:p w14:paraId="15F652EC" w14:textId="07A27C51" w:rsidR="00600505" w:rsidRDefault="00600505" w:rsidP="0091791C">
            <w:pPr>
              <w:jc w:val="both"/>
              <w:rPr>
                <w:rFonts w:ascii="Times New Roman" w:hAnsi="Times New Roman" w:cs="Times New Roman"/>
                <w:sz w:val="24"/>
                <w:szCs w:val="24"/>
              </w:rPr>
            </w:pPr>
            <w:r>
              <w:rPr>
                <w:rFonts w:ascii="Times New Roman" w:hAnsi="Times New Roman" w:cs="Times New Roman"/>
                <w:sz w:val="24"/>
                <w:szCs w:val="24"/>
              </w:rPr>
              <w:t xml:space="preserve">Groups which are not included in Class 1, Class 2, or Class 3 as defined above. Includes </w:t>
            </w:r>
            <w:r w:rsidR="001B307B">
              <w:rPr>
                <w:rFonts w:ascii="Times New Roman" w:hAnsi="Times New Roman" w:cs="Times New Roman"/>
                <w:sz w:val="24"/>
                <w:szCs w:val="24"/>
              </w:rPr>
              <w:t>organizations</w:t>
            </w:r>
            <w:r>
              <w:rPr>
                <w:rFonts w:ascii="Times New Roman" w:hAnsi="Times New Roman" w:cs="Times New Roman"/>
                <w:sz w:val="24"/>
                <w:szCs w:val="24"/>
              </w:rPr>
              <w:t xml:space="preserve"> that charge admission and/or participation fees and/or have as a purpose the</w:t>
            </w:r>
            <w:r w:rsidR="00B87AF7">
              <w:rPr>
                <w:rFonts w:ascii="Times New Roman" w:hAnsi="Times New Roman" w:cs="Times New Roman"/>
                <w:sz w:val="24"/>
                <w:szCs w:val="24"/>
              </w:rPr>
              <w:t xml:space="preserve"> generation of income for the host group or individual(s). Examples: commercial or private gain activities such as private tutoring, art classes, karate or fencing class, private sports clinics, psychic fairs, investment/financial services; for-profit presentations; insurance/TSA informational meetings; business corporations events; wedding receptions and private parties (except for class reunions – see Class 3).</w:t>
            </w:r>
          </w:p>
          <w:p w14:paraId="25D7D5E4" w14:textId="77777777" w:rsidR="00600505" w:rsidRPr="00A845CF" w:rsidRDefault="00600505" w:rsidP="0091791C">
            <w:pPr>
              <w:jc w:val="both"/>
              <w:rPr>
                <w:rFonts w:ascii="Times New Roman" w:hAnsi="Times New Roman" w:cs="Times New Roman"/>
                <w:sz w:val="24"/>
                <w:szCs w:val="24"/>
              </w:rPr>
            </w:pPr>
          </w:p>
        </w:tc>
      </w:tr>
    </w:tbl>
    <w:p w14:paraId="6EE92A08" w14:textId="77777777" w:rsidR="005A76AC" w:rsidRPr="005A76AC" w:rsidRDefault="005A76AC" w:rsidP="005A76AC">
      <w:pPr>
        <w:spacing w:line="240" w:lineRule="auto"/>
        <w:jc w:val="both"/>
        <w:rPr>
          <w:rFonts w:ascii="Times New Roman" w:hAnsi="Times New Roman" w:cs="Times New Roman"/>
          <w:sz w:val="25"/>
          <w:szCs w:val="25"/>
        </w:rPr>
      </w:pPr>
    </w:p>
    <w:sectPr w:rsidR="005A76AC" w:rsidRPr="005A76A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B806" w14:textId="77777777" w:rsidR="00CD3211" w:rsidRDefault="00CD3211" w:rsidP="006D751B">
      <w:pPr>
        <w:spacing w:after="0" w:line="240" w:lineRule="auto"/>
      </w:pPr>
      <w:r>
        <w:separator/>
      </w:r>
    </w:p>
  </w:endnote>
  <w:endnote w:type="continuationSeparator" w:id="0">
    <w:p w14:paraId="164709B1" w14:textId="77777777" w:rsidR="00CD3211" w:rsidRDefault="00CD3211" w:rsidP="006D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5B8B" w14:textId="77777777" w:rsidR="00B87AF7" w:rsidRDefault="00B87AF7">
    <w:pPr>
      <w:pStyle w:val="Footer"/>
    </w:pPr>
    <w:r>
      <w:t>Updated: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DBFF7" w14:textId="77777777" w:rsidR="00CD3211" w:rsidRDefault="00CD3211" w:rsidP="006D751B">
      <w:pPr>
        <w:spacing w:after="0" w:line="240" w:lineRule="auto"/>
      </w:pPr>
      <w:r>
        <w:separator/>
      </w:r>
    </w:p>
  </w:footnote>
  <w:footnote w:type="continuationSeparator" w:id="0">
    <w:p w14:paraId="7A5F99AD" w14:textId="77777777" w:rsidR="00CD3211" w:rsidRDefault="00CD3211" w:rsidP="006D7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101B" w14:textId="77777777" w:rsidR="006D751B" w:rsidRDefault="006D751B">
    <w:pPr>
      <w:pStyle w:val="Header"/>
      <w:rPr>
        <w:rFonts w:ascii="Times New Roman" w:hAnsi="Times New Roman" w:cs="Times New Roman"/>
        <w:sz w:val="24"/>
      </w:rPr>
    </w:pPr>
    <w:r>
      <w:tab/>
    </w:r>
    <w:r>
      <w:tab/>
    </w:r>
    <w:r w:rsidRPr="006D751B">
      <w:rPr>
        <w:rFonts w:ascii="Times New Roman" w:hAnsi="Times New Roman" w:cs="Times New Roman"/>
        <w:sz w:val="24"/>
      </w:rPr>
      <w:t>Procedure No. 4260</w:t>
    </w:r>
  </w:p>
  <w:p w14:paraId="56B4C8C1" w14:textId="77777777" w:rsidR="006D751B" w:rsidRPr="006D751B" w:rsidRDefault="006D751B">
    <w:pPr>
      <w:pStyle w:val="Header"/>
      <w:rPr>
        <w:rFonts w:ascii="Times New Roman" w:hAnsi="Times New Roman" w:cs="Times New Roman"/>
      </w:rPr>
    </w:pPr>
    <w:r>
      <w:rPr>
        <w:rFonts w:ascii="Times New Roman" w:hAnsi="Times New Roman" w:cs="Times New Roman"/>
        <w:sz w:val="24"/>
      </w:rPr>
      <w:tab/>
    </w:r>
    <w:r>
      <w:rPr>
        <w:rFonts w:ascii="Times New Roman" w:hAnsi="Times New Roman" w:cs="Times New Roman"/>
        <w:sz w:val="24"/>
      </w:rPr>
      <w:tab/>
      <w:t xml:space="preserve"> Community Relations </w:t>
    </w:r>
  </w:p>
  <w:p w14:paraId="708671FF" w14:textId="77777777" w:rsidR="006D751B" w:rsidRDefault="006D7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1B"/>
    <w:rsid w:val="00021A4B"/>
    <w:rsid w:val="000437D7"/>
    <w:rsid w:val="001B307B"/>
    <w:rsid w:val="001C7B07"/>
    <w:rsid w:val="003278C1"/>
    <w:rsid w:val="00463220"/>
    <w:rsid w:val="005A76AC"/>
    <w:rsid w:val="00600505"/>
    <w:rsid w:val="00645A32"/>
    <w:rsid w:val="006D751B"/>
    <w:rsid w:val="007D09C2"/>
    <w:rsid w:val="0090634F"/>
    <w:rsid w:val="0096134B"/>
    <w:rsid w:val="00A845CF"/>
    <w:rsid w:val="00B87AF7"/>
    <w:rsid w:val="00CD3211"/>
    <w:rsid w:val="00EB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4782"/>
  <w15:chartTrackingRefBased/>
  <w15:docId w15:val="{596A3BA4-125B-4C8C-90B1-158BC6BE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1B"/>
  </w:style>
  <w:style w:type="paragraph" w:styleId="Footer">
    <w:name w:val="footer"/>
    <w:basedOn w:val="Normal"/>
    <w:link w:val="FooterChar"/>
    <w:uiPriority w:val="99"/>
    <w:unhideWhenUsed/>
    <w:rsid w:val="006D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1B"/>
  </w:style>
  <w:style w:type="table" w:styleId="TableGrid">
    <w:name w:val="Table Grid"/>
    <w:basedOn w:val="TableNormal"/>
    <w:uiPriority w:val="39"/>
    <w:rsid w:val="005A7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Prey</dc:creator>
  <cp:keywords/>
  <dc:description/>
  <cp:lastModifiedBy>Gina Mullendore</cp:lastModifiedBy>
  <cp:revision>2</cp:revision>
  <dcterms:created xsi:type="dcterms:W3CDTF">2022-08-31T21:18:00Z</dcterms:created>
  <dcterms:modified xsi:type="dcterms:W3CDTF">2022-08-31T21:18:00Z</dcterms:modified>
</cp:coreProperties>
</file>